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2D8C1" w14:textId="6C374DAC" w:rsidR="00A309AB" w:rsidRPr="00353FA9" w:rsidRDefault="00A87ED7" w:rsidP="00353FA9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lang w:val="cs-CZ"/>
        </w:rPr>
      </w:pPr>
      <w:proofErr w:type="spellStart"/>
      <w:r w:rsidRPr="00353FA9">
        <w:rPr>
          <w:rFonts w:ascii="Invesco Interstate Bold" w:hAnsi="Invesco Interstate Bold"/>
          <w:b/>
          <w:bCs/>
          <w:sz w:val="24"/>
          <w:lang w:val="cs-CZ"/>
        </w:rPr>
        <w:t>Invesco</w:t>
      </w:r>
      <w:proofErr w:type="spellEnd"/>
      <w:r w:rsidRPr="00353FA9">
        <w:rPr>
          <w:rFonts w:ascii="Invesco Interstate Bold" w:hAnsi="Invesco Interstate Bold"/>
          <w:b/>
          <w:bCs/>
          <w:sz w:val="24"/>
          <w:lang w:val="cs-CZ"/>
        </w:rPr>
        <w:t xml:space="preserve"> </w:t>
      </w:r>
      <w:proofErr w:type="spellStart"/>
      <w:r w:rsidRPr="00353FA9">
        <w:rPr>
          <w:rFonts w:ascii="Invesco Interstate Bold" w:hAnsi="Invesco Interstate Bold"/>
          <w:b/>
          <w:bCs/>
          <w:sz w:val="24"/>
          <w:lang w:val="cs-CZ"/>
        </w:rPr>
        <w:t>Investment</w:t>
      </w:r>
      <w:proofErr w:type="spellEnd"/>
      <w:r w:rsidRPr="00353FA9">
        <w:rPr>
          <w:rFonts w:ascii="Invesco Interstate Bold" w:hAnsi="Invesco Interstate Bold"/>
          <w:b/>
          <w:bCs/>
          <w:sz w:val="24"/>
          <w:lang w:val="cs-CZ"/>
        </w:rPr>
        <w:t xml:space="preserve"> Outlook 2022: Normálnější růst i inflace, vyšší volatilita v roce plném změn</w:t>
      </w:r>
    </w:p>
    <w:p w14:paraId="4CFA78A2" w14:textId="1059FEB0" w:rsidR="00373236" w:rsidRPr="00353FA9" w:rsidRDefault="003C6ADB" w:rsidP="00353FA9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  <w:lang w:val="cs-CZ"/>
        </w:rPr>
      </w:pPr>
      <w:r>
        <w:rPr>
          <w:rFonts w:ascii="Invesco Interstate Light" w:hAnsi="Invesco Interstate Light"/>
          <w:b/>
          <w:bCs/>
          <w:sz w:val="22"/>
          <w:szCs w:val="22"/>
          <w:lang w:val="cs-CZ"/>
        </w:rPr>
        <w:t xml:space="preserve">Po dvou letech mimořádných kroků </w:t>
      </w:r>
      <w:r w:rsidR="0052406A">
        <w:rPr>
          <w:rFonts w:ascii="Invesco Interstate Light" w:hAnsi="Invesco Interstate Light"/>
          <w:b/>
          <w:bCs/>
          <w:sz w:val="22"/>
          <w:szCs w:val="22"/>
          <w:lang w:val="cs-CZ"/>
        </w:rPr>
        <w:t>fiskální a měnové politiky</w:t>
      </w:r>
      <w:r w:rsidR="005F7EEE">
        <w:rPr>
          <w:rFonts w:ascii="Invesco Interstate Light" w:hAnsi="Invesco Interstate Light"/>
          <w:b/>
          <w:bCs/>
          <w:sz w:val="22"/>
          <w:szCs w:val="22"/>
          <w:lang w:val="cs-CZ"/>
        </w:rPr>
        <w:t>, které vyvolala</w:t>
      </w:r>
      <w:r>
        <w:rPr>
          <w:rFonts w:ascii="Invesco Interstate Light" w:hAnsi="Invesco Interstate Light"/>
          <w:b/>
          <w:bCs/>
          <w:sz w:val="22"/>
          <w:szCs w:val="22"/>
          <w:lang w:val="cs-CZ"/>
        </w:rPr>
        <w:t xml:space="preserve"> pandemi</w:t>
      </w:r>
      <w:r w:rsidR="005F7EEE">
        <w:rPr>
          <w:rFonts w:ascii="Invesco Interstate Light" w:hAnsi="Invesco Interstate Light"/>
          <w:b/>
          <w:bCs/>
          <w:sz w:val="22"/>
          <w:szCs w:val="22"/>
          <w:lang w:val="cs-CZ"/>
        </w:rPr>
        <w:t>e</w:t>
      </w:r>
      <w:r>
        <w:rPr>
          <w:rFonts w:ascii="Invesco Interstate Light" w:hAnsi="Invesco Interstate Light"/>
          <w:b/>
          <w:bCs/>
          <w:sz w:val="22"/>
          <w:szCs w:val="22"/>
          <w:lang w:val="cs-CZ"/>
        </w:rPr>
        <w:t>,</w:t>
      </w:r>
      <w:r w:rsidR="00A87ED7" w:rsidRPr="00353FA9">
        <w:rPr>
          <w:rFonts w:ascii="Invesco Interstate Light" w:hAnsi="Invesco Interstate Light"/>
          <w:b/>
          <w:bCs/>
          <w:sz w:val="22"/>
          <w:szCs w:val="22"/>
          <w:lang w:val="cs-CZ"/>
        </w:rPr>
        <w:t xml:space="preserve"> očekávají investiční stratégové společnosti </w:t>
      </w:r>
      <w:proofErr w:type="spellStart"/>
      <w:r w:rsidR="00A87ED7" w:rsidRPr="00353FA9">
        <w:rPr>
          <w:rFonts w:ascii="Invesco Interstate Light" w:hAnsi="Invesco Interstate Light"/>
          <w:b/>
          <w:bCs/>
          <w:sz w:val="22"/>
          <w:szCs w:val="22"/>
          <w:lang w:val="cs-CZ"/>
        </w:rPr>
        <w:t>Invesco</w:t>
      </w:r>
      <w:proofErr w:type="spellEnd"/>
      <w:r w:rsidR="00A87ED7" w:rsidRPr="00353FA9">
        <w:rPr>
          <w:rFonts w:ascii="Invesco Interstate Light" w:hAnsi="Invesco Interstate Light"/>
          <w:b/>
          <w:bCs/>
          <w:sz w:val="22"/>
          <w:szCs w:val="22"/>
          <w:lang w:val="cs-CZ"/>
        </w:rPr>
        <w:t>, že rok 2022 bude rokem změn. Politiky a ekonomiky se budou přibližovat normálnějšímu stavu. Uprostřed pokračujících narušení dodavatelského řetězce a nárůstu poptávky se jejich výhled na rok 2022 soustředí na otázku inflace a na to, jak na ni mohou trhy a tvůrci politik reagovat.</w:t>
      </w:r>
    </w:p>
    <w:p w14:paraId="666A6D50" w14:textId="68B57823" w:rsidR="00A87ED7" w:rsidRPr="00353FA9" w:rsidRDefault="00A87ED7" w:rsidP="00353FA9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</w:p>
    <w:p w14:paraId="5DE9C91C" w14:textId="5255770E" w:rsidR="00A87ED7" w:rsidRPr="00353FA9" w:rsidRDefault="00A87ED7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Odborníci společnosti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sice očekávají, že volatilita se zvýší, protože trhy se budou vyrovnávat s pomalejším růstem a postupným zpřísňováním měnové politiky. Riziko </w:t>
      </w:r>
      <w:r w:rsidR="005F7EEE">
        <w:rPr>
          <w:rFonts w:ascii="Invesco Interstate Light" w:hAnsi="Invesco Interstate Light"/>
          <w:sz w:val="22"/>
          <w:szCs w:val="22"/>
          <w:lang w:val="cs-CZ"/>
        </w:rPr>
        <w:t>c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>ovid</w:t>
      </w:r>
      <w:r w:rsidR="0052406A">
        <w:rPr>
          <w:rFonts w:ascii="Invesco Interstate Light" w:hAnsi="Invesco Interstate Light"/>
          <w:sz w:val="22"/>
          <w:szCs w:val="22"/>
          <w:lang w:val="cs-CZ"/>
        </w:rPr>
        <w:t>u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však pro ekonomiky slábne. </w:t>
      </w:r>
      <w:r w:rsidR="005F7EEE">
        <w:rPr>
          <w:rFonts w:ascii="Invesco Interstate Light" w:hAnsi="Invesco Interstate Light"/>
          <w:sz w:val="22"/>
          <w:szCs w:val="22"/>
          <w:lang w:val="cs-CZ"/>
        </w:rPr>
        <w:t>„</w:t>
      </w:r>
      <w:r w:rsidRPr="007D3BBF">
        <w:rPr>
          <w:rFonts w:ascii="Invesco Interstate Light" w:hAnsi="Invesco Interstate Light"/>
          <w:i/>
          <w:sz w:val="22"/>
          <w:szCs w:val="22"/>
          <w:lang w:val="cs-CZ"/>
        </w:rPr>
        <w:t xml:space="preserve">Ačkoli zůstáváme obezřetní ohledně toho, co můžou přinést nové mutace viru, v současné době vzbuzuje </w:t>
      </w:r>
      <w:r w:rsidR="0052406A" w:rsidRPr="007D3BBF">
        <w:rPr>
          <w:rFonts w:ascii="Invesco Interstate Light" w:hAnsi="Invesco Interstate Light"/>
          <w:i/>
          <w:sz w:val="22"/>
          <w:szCs w:val="22"/>
          <w:lang w:val="cs-CZ"/>
        </w:rPr>
        <w:t>c</w:t>
      </w:r>
      <w:r w:rsidRPr="007D3BBF">
        <w:rPr>
          <w:rFonts w:ascii="Invesco Interstate Light" w:hAnsi="Invesco Interstate Light"/>
          <w:i/>
          <w:sz w:val="22"/>
          <w:szCs w:val="22"/>
          <w:lang w:val="cs-CZ"/>
        </w:rPr>
        <w:t>ovid v našich očekáváních stále menší obavy, protože ekonomické dopady pandemie stále slábnou - i když zde jsou nějaké výkyvy,</w:t>
      </w:r>
      <w:r w:rsidR="005F7EEE">
        <w:rPr>
          <w:rFonts w:ascii="Invesco Interstate Light" w:hAnsi="Invesco Interstate Light"/>
          <w:sz w:val="22"/>
          <w:szCs w:val="22"/>
          <w:lang w:val="cs-CZ"/>
        </w:rPr>
        <w:t>“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říká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Henning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Stein, globální vedoucí oddělení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Thought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Leadership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společnosti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. </w:t>
      </w:r>
      <w:r w:rsidR="005F7EEE">
        <w:rPr>
          <w:rFonts w:ascii="Invesco Interstate Light" w:hAnsi="Invesco Interstate Light"/>
          <w:sz w:val="22"/>
          <w:szCs w:val="22"/>
          <w:lang w:val="cs-CZ"/>
        </w:rPr>
        <w:t>„</w:t>
      </w:r>
      <w:r w:rsidRPr="007D3BBF">
        <w:rPr>
          <w:rFonts w:ascii="Invesco Interstate Light" w:hAnsi="Invesco Interstate Light"/>
          <w:i/>
          <w:sz w:val="22"/>
          <w:szCs w:val="22"/>
          <w:lang w:val="cs-CZ"/>
        </w:rPr>
        <w:t>Rizikem samozřejmě zůstává růst počtu případů v některých zemích, který by mohl být doprovázen lockdowny a narušením dodavatelských řetězců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>.</w:t>
      </w:r>
      <w:r w:rsidR="005F7EEE">
        <w:rPr>
          <w:rFonts w:ascii="Invesco Interstate Light" w:hAnsi="Invesco Interstate Light"/>
          <w:sz w:val="22"/>
          <w:szCs w:val="22"/>
          <w:lang w:val="cs-CZ"/>
        </w:rPr>
        <w:t>“</w:t>
      </w:r>
    </w:p>
    <w:p w14:paraId="4ABF84EA" w14:textId="305AD974" w:rsidR="00A87ED7" w:rsidRPr="00353FA9" w:rsidRDefault="00A87ED7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</w:p>
    <w:p w14:paraId="31718F3E" w14:textId="0B6EC411" w:rsidR="00A87ED7" w:rsidRDefault="00A87ED7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V investičním výhledu na rok 2022 odborníci společnosti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nastiňují svůj základní scénář pro rok 2022</w:t>
      </w:r>
      <w:r w:rsidR="00FA4A2E">
        <w:rPr>
          <w:rFonts w:ascii="Invesco Interstate Light" w:hAnsi="Invesco Interstate Light"/>
          <w:sz w:val="22"/>
          <w:szCs w:val="22"/>
          <w:lang w:val="cs-CZ"/>
        </w:rPr>
        <w:t xml:space="preserve"> a vysvětlují tak své preference při alokaci aktiv. </w:t>
      </w:r>
    </w:p>
    <w:p w14:paraId="28AFA917" w14:textId="77777777" w:rsidR="00353FA9" w:rsidRPr="00353FA9" w:rsidRDefault="00353FA9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</w:p>
    <w:p w14:paraId="285505D1" w14:textId="5C4434E0" w:rsidR="00A87ED7" w:rsidRPr="00353FA9" w:rsidRDefault="008963FE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  <w:r>
        <w:rPr>
          <w:rFonts w:ascii="Invesco Interstate Light" w:hAnsi="Invesco Interstate Light"/>
          <w:sz w:val="22"/>
          <w:szCs w:val="22"/>
          <w:lang w:val="cs-CZ"/>
        </w:rPr>
        <w:t>„</w:t>
      </w:r>
      <w:r w:rsidR="00353FA9" w:rsidRPr="008963FE">
        <w:rPr>
          <w:rFonts w:ascii="Invesco Interstate Light" w:hAnsi="Invesco Interstate Light"/>
          <w:i/>
          <w:sz w:val="22"/>
          <w:szCs w:val="22"/>
          <w:lang w:val="cs-CZ"/>
        </w:rPr>
        <w:t>V základním scéná</w:t>
      </w:r>
      <w:r w:rsidR="00353FA9" w:rsidRPr="008963FE">
        <w:rPr>
          <w:rFonts w:ascii="Invesco Interstate Light" w:hAnsi="Invesco Interstate Light" w:hint="eastAsia"/>
          <w:i/>
          <w:sz w:val="22"/>
          <w:szCs w:val="22"/>
          <w:lang w:val="cs-CZ"/>
        </w:rPr>
        <w:t>ř</w:t>
      </w:r>
      <w:r w:rsidR="00353FA9" w:rsidRPr="008963FE">
        <w:rPr>
          <w:rFonts w:ascii="Invesco Interstate Light" w:hAnsi="Invesco Interstate Light"/>
          <w:i/>
          <w:sz w:val="22"/>
          <w:szCs w:val="22"/>
          <w:lang w:val="cs-CZ"/>
        </w:rPr>
        <w:t>i se o</w:t>
      </w:r>
      <w:r w:rsidR="00353FA9" w:rsidRPr="008963FE">
        <w:rPr>
          <w:rFonts w:ascii="Invesco Interstate Light" w:hAnsi="Invesco Interstate Light" w:hint="eastAsia"/>
          <w:i/>
          <w:sz w:val="22"/>
          <w:szCs w:val="22"/>
          <w:lang w:val="cs-CZ"/>
        </w:rPr>
        <w:t>č</w:t>
      </w:r>
      <w:r w:rsidR="00353FA9" w:rsidRPr="008963FE">
        <w:rPr>
          <w:rFonts w:ascii="Invesco Interstate Light" w:hAnsi="Invesco Interstate Light"/>
          <w:i/>
          <w:sz w:val="22"/>
          <w:szCs w:val="22"/>
          <w:lang w:val="cs-CZ"/>
        </w:rPr>
        <w:t>ekává, že globální r</w:t>
      </w:r>
      <w:r w:rsidR="00353FA9" w:rsidRPr="008963FE">
        <w:rPr>
          <w:rFonts w:ascii="Invesco Interstate Light" w:hAnsi="Invesco Interstate Light" w:hint="eastAsia"/>
          <w:i/>
          <w:sz w:val="22"/>
          <w:szCs w:val="22"/>
          <w:lang w:val="cs-CZ"/>
        </w:rPr>
        <w:t>ů</w:t>
      </w:r>
      <w:r w:rsidR="00353FA9" w:rsidRPr="008963FE">
        <w:rPr>
          <w:rFonts w:ascii="Invesco Interstate Light" w:hAnsi="Invesco Interstate Light"/>
          <w:i/>
          <w:sz w:val="22"/>
          <w:szCs w:val="22"/>
          <w:lang w:val="cs-CZ"/>
        </w:rPr>
        <w:t>st se bude normalizovat, z</w:t>
      </w:r>
      <w:r w:rsidR="00353FA9" w:rsidRPr="008963FE">
        <w:rPr>
          <w:rFonts w:ascii="Invesco Interstate Light" w:hAnsi="Invesco Interstate Light" w:hint="eastAsia"/>
          <w:i/>
          <w:sz w:val="22"/>
          <w:szCs w:val="22"/>
          <w:lang w:val="cs-CZ"/>
        </w:rPr>
        <w:t>ů</w:t>
      </w:r>
      <w:r w:rsidR="00353FA9" w:rsidRPr="008963FE">
        <w:rPr>
          <w:rFonts w:ascii="Invesco Interstate Light" w:hAnsi="Invesco Interstate Light"/>
          <w:i/>
          <w:sz w:val="22"/>
          <w:szCs w:val="22"/>
          <w:lang w:val="cs-CZ"/>
        </w:rPr>
        <w:t>stane nad dlouhodobým trendem, ale s postupným odstra</w:t>
      </w:r>
      <w:r w:rsidR="00353FA9" w:rsidRPr="008963FE">
        <w:rPr>
          <w:rFonts w:ascii="Invesco Interstate Light" w:hAnsi="Invesco Interstate Light" w:hint="eastAsia"/>
          <w:i/>
          <w:sz w:val="22"/>
          <w:szCs w:val="22"/>
          <w:lang w:val="cs-CZ"/>
        </w:rPr>
        <w:t>ň</w:t>
      </w:r>
      <w:r w:rsidR="00353FA9" w:rsidRPr="008963FE">
        <w:rPr>
          <w:rFonts w:ascii="Invesco Interstate Light" w:hAnsi="Invesco Interstate Light"/>
          <w:i/>
          <w:sz w:val="22"/>
          <w:szCs w:val="22"/>
          <w:lang w:val="cs-CZ"/>
        </w:rPr>
        <w:t>ováním fiskálních stimul</w:t>
      </w:r>
      <w:r w:rsidR="00353FA9" w:rsidRPr="008963FE">
        <w:rPr>
          <w:rFonts w:ascii="Invesco Interstate Light" w:hAnsi="Invesco Interstate Light" w:hint="eastAsia"/>
          <w:i/>
          <w:sz w:val="22"/>
          <w:szCs w:val="22"/>
          <w:lang w:val="cs-CZ"/>
        </w:rPr>
        <w:t>ů</w:t>
      </w:r>
      <w:r w:rsidR="00353FA9" w:rsidRPr="008963FE">
        <w:rPr>
          <w:rFonts w:ascii="Invesco Interstate Light" w:hAnsi="Invesco Interstate Light"/>
          <w:i/>
          <w:sz w:val="22"/>
          <w:szCs w:val="22"/>
          <w:lang w:val="cs-CZ"/>
        </w:rPr>
        <w:t xml:space="preserve"> zpomalí na udržiteln</w:t>
      </w:r>
      <w:r w:rsidR="00353FA9" w:rsidRPr="008963FE">
        <w:rPr>
          <w:rFonts w:ascii="Invesco Interstate Light" w:hAnsi="Invesco Interstate Light" w:hint="eastAsia"/>
          <w:i/>
          <w:sz w:val="22"/>
          <w:szCs w:val="22"/>
          <w:lang w:val="cs-CZ"/>
        </w:rPr>
        <w:t>ě</w:t>
      </w:r>
      <w:r w:rsidRPr="008963FE">
        <w:rPr>
          <w:rFonts w:ascii="Invesco Interstate Light" w:hAnsi="Invesco Interstate Light"/>
          <w:i/>
          <w:sz w:val="22"/>
          <w:szCs w:val="22"/>
          <w:lang w:val="cs-CZ"/>
        </w:rPr>
        <w:t>jší tempo</w:t>
      </w:r>
      <w:r>
        <w:rPr>
          <w:rFonts w:ascii="Invesco Interstate Light" w:hAnsi="Invesco Interstate Light"/>
          <w:sz w:val="22"/>
          <w:szCs w:val="22"/>
          <w:lang w:val="cs-CZ"/>
        </w:rPr>
        <w:t xml:space="preserve">,“ vysvětluje </w:t>
      </w:r>
      <w:r w:rsidRPr="008963FE">
        <w:rPr>
          <w:rFonts w:ascii="Invesco Interstate Light" w:hAnsi="Invesco Interstate Light"/>
          <w:sz w:val="22"/>
          <w:szCs w:val="22"/>
          <w:lang w:val="cs-CZ"/>
        </w:rPr>
        <w:t xml:space="preserve">Eva </w:t>
      </w:r>
      <w:proofErr w:type="spellStart"/>
      <w:r w:rsidRPr="008963FE">
        <w:rPr>
          <w:rFonts w:ascii="Invesco Interstate Light" w:hAnsi="Invesco Interstate Light"/>
          <w:sz w:val="22"/>
          <w:szCs w:val="22"/>
          <w:lang w:val="cs-CZ"/>
        </w:rPr>
        <w:t>Miklášová</w:t>
      </w:r>
      <w:proofErr w:type="spellEnd"/>
      <w:r w:rsidRPr="008963FE">
        <w:rPr>
          <w:rFonts w:ascii="Invesco Interstate Light" w:hAnsi="Invesco Interstate Light"/>
          <w:sz w:val="22"/>
          <w:szCs w:val="22"/>
          <w:lang w:val="cs-CZ"/>
        </w:rPr>
        <w:t xml:space="preserve">, Country </w:t>
      </w:r>
      <w:proofErr w:type="spellStart"/>
      <w:r w:rsidRPr="008963FE">
        <w:rPr>
          <w:rFonts w:ascii="Invesco Interstate Light" w:hAnsi="Invesco Interstate Light"/>
          <w:sz w:val="22"/>
          <w:szCs w:val="22"/>
          <w:lang w:val="cs-CZ"/>
        </w:rPr>
        <w:t>Lead</w:t>
      </w:r>
      <w:proofErr w:type="spellEnd"/>
      <w:r w:rsidRPr="008963FE">
        <w:rPr>
          <w:rFonts w:ascii="Invesco Interstate Light" w:hAnsi="Invesco Interstate Light"/>
          <w:sz w:val="22"/>
          <w:szCs w:val="22"/>
          <w:lang w:val="cs-CZ"/>
        </w:rPr>
        <w:t xml:space="preserve"> pro Českou republiku, </w:t>
      </w:r>
      <w:proofErr w:type="spellStart"/>
      <w:r w:rsidRPr="008963FE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>
        <w:rPr>
          <w:rFonts w:ascii="Invesco Interstate Light" w:hAnsi="Invesco Interstate Light"/>
          <w:sz w:val="22"/>
          <w:szCs w:val="22"/>
          <w:lang w:val="cs-CZ"/>
        </w:rPr>
        <w:t>.</w:t>
      </w:r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 xml:space="preserve"> Analytici z </w:t>
      </w:r>
      <w:proofErr w:type="spellStart"/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>Invesca</w:t>
      </w:r>
      <w:proofErr w:type="spellEnd"/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 xml:space="preserve"> tak</w:t>
      </w:r>
      <w:r w:rsidR="00174EE9">
        <w:rPr>
          <w:rFonts w:ascii="Invesco Interstate Light" w:hAnsi="Invesco Interstate Light"/>
          <w:sz w:val="22"/>
          <w:szCs w:val="22"/>
          <w:lang w:val="cs-CZ"/>
        </w:rPr>
        <w:t>é</w:t>
      </w:r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 xml:space="preserve"> p</w:t>
      </w:r>
      <w:r w:rsidR="00353FA9" w:rsidRPr="00353FA9">
        <w:rPr>
          <w:rFonts w:ascii="Invesco Interstate Light" w:hAnsi="Invesco Interstate Light" w:hint="eastAsia"/>
          <w:sz w:val="22"/>
          <w:szCs w:val="22"/>
          <w:lang w:val="cs-CZ"/>
        </w:rPr>
        <w:t>ř</w:t>
      </w:r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>edpokládají, že inflace dosáhne v polovin</w:t>
      </w:r>
      <w:r w:rsidR="00353FA9" w:rsidRPr="00353FA9">
        <w:rPr>
          <w:rFonts w:ascii="Invesco Interstate Light" w:hAnsi="Invesco Interstate Light" w:hint="eastAsia"/>
          <w:sz w:val="22"/>
          <w:szCs w:val="22"/>
          <w:lang w:val="cs-CZ"/>
        </w:rPr>
        <w:t>ě</w:t>
      </w:r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 xml:space="preserve"> roku 2022 svého vrcholu. Poté se za</w:t>
      </w:r>
      <w:r w:rsidR="00353FA9" w:rsidRPr="00353FA9">
        <w:rPr>
          <w:rFonts w:ascii="Invesco Interstate Light" w:hAnsi="Invesco Interstate Light" w:hint="eastAsia"/>
          <w:sz w:val="22"/>
          <w:szCs w:val="22"/>
          <w:lang w:val="cs-CZ"/>
        </w:rPr>
        <w:t>č</w:t>
      </w:r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>ne snižovat a do konce roku 2023 se vrátí k cílovým hodnotám s tím, jak se vy</w:t>
      </w:r>
      <w:r w:rsidR="00353FA9" w:rsidRPr="00353FA9">
        <w:rPr>
          <w:rFonts w:ascii="Invesco Interstate Light" w:hAnsi="Invesco Interstate Light" w:hint="eastAsia"/>
          <w:sz w:val="22"/>
          <w:szCs w:val="22"/>
          <w:lang w:val="cs-CZ"/>
        </w:rPr>
        <w:t>ř</w:t>
      </w:r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 xml:space="preserve">eší problémy v dodavatelských </w:t>
      </w:r>
      <w:r w:rsidR="00353FA9" w:rsidRPr="00353FA9">
        <w:rPr>
          <w:rFonts w:ascii="Invesco Interstate Light" w:hAnsi="Invesco Interstate Light" w:hint="eastAsia"/>
          <w:sz w:val="22"/>
          <w:szCs w:val="22"/>
          <w:lang w:val="cs-CZ"/>
        </w:rPr>
        <w:t>ř</w:t>
      </w:r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>et</w:t>
      </w:r>
      <w:r w:rsidR="00353FA9" w:rsidRPr="00353FA9">
        <w:rPr>
          <w:rFonts w:ascii="Invesco Interstate Light" w:hAnsi="Invesco Interstate Light" w:hint="eastAsia"/>
          <w:sz w:val="22"/>
          <w:szCs w:val="22"/>
          <w:lang w:val="cs-CZ"/>
        </w:rPr>
        <w:t>ě</w:t>
      </w:r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>zcích, zvýší se proo</w:t>
      </w:r>
      <w:r w:rsidR="00353FA9" w:rsidRPr="00353FA9">
        <w:rPr>
          <w:rFonts w:ascii="Invesco Interstate Light" w:hAnsi="Invesco Interstate Light" w:hint="eastAsia"/>
          <w:sz w:val="22"/>
          <w:szCs w:val="22"/>
          <w:lang w:val="cs-CZ"/>
        </w:rPr>
        <w:t>č</w:t>
      </w:r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>kovanost a do pracovního procesu se vrátí více zam</w:t>
      </w:r>
      <w:r w:rsidR="00353FA9" w:rsidRPr="00353FA9">
        <w:rPr>
          <w:rFonts w:ascii="Invesco Interstate Light" w:hAnsi="Invesco Interstate Light" w:hint="eastAsia"/>
          <w:sz w:val="22"/>
          <w:szCs w:val="22"/>
          <w:lang w:val="cs-CZ"/>
        </w:rPr>
        <w:t>ě</w:t>
      </w:r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>stnanc</w:t>
      </w:r>
      <w:r w:rsidR="00353FA9" w:rsidRPr="00353FA9">
        <w:rPr>
          <w:rFonts w:ascii="Invesco Interstate Light" w:hAnsi="Invesco Interstate Light" w:hint="eastAsia"/>
          <w:sz w:val="22"/>
          <w:szCs w:val="22"/>
          <w:lang w:val="cs-CZ"/>
        </w:rPr>
        <w:t>ů</w:t>
      </w:r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 xml:space="preserve">. </w:t>
      </w:r>
      <w:r w:rsidR="005F7EEE">
        <w:rPr>
          <w:rFonts w:ascii="Invesco Interstate Light" w:hAnsi="Invesco Interstate Light"/>
          <w:sz w:val="22"/>
          <w:szCs w:val="22"/>
          <w:lang w:val="cs-CZ"/>
        </w:rPr>
        <w:t>„</w:t>
      </w:r>
      <w:r w:rsidR="00353FA9" w:rsidRPr="007D3BBF">
        <w:rPr>
          <w:rFonts w:ascii="Invesco Interstate Light" w:hAnsi="Invesco Interstate Light"/>
          <w:i/>
          <w:sz w:val="22"/>
          <w:szCs w:val="22"/>
          <w:lang w:val="cs-CZ"/>
        </w:rPr>
        <w:t>Povzbuzuje nás klesající r</w:t>
      </w:r>
      <w:r w:rsidR="00353FA9" w:rsidRPr="007D3BBF">
        <w:rPr>
          <w:rFonts w:ascii="Invesco Interstate Light" w:hAnsi="Invesco Interstate Light" w:hint="eastAsia"/>
          <w:i/>
          <w:sz w:val="22"/>
          <w:szCs w:val="22"/>
          <w:lang w:val="cs-CZ"/>
        </w:rPr>
        <w:t>ů</w:t>
      </w:r>
      <w:r w:rsidR="00353FA9" w:rsidRPr="007D3BBF">
        <w:rPr>
          <w:rFonts w:ascii="Invesco Interstate Light" w:hAnsi="Invesco Interstate Light"/>
          <w:i/>
          <w:sz w:val="22"/>
          <w:szCs w:val="22"/>
          <w:lang w:val="cs-CZ"/>
        </w:rPr>
        <w:t>st pen</w:t>
      </w:r>
      <w:r w:rsidR="00353FA9" w:rsidRPr="007D3BBF">
        <w:rPr>
          <w:rFonts w:ascii="Invesco Interstate Light" w:hAnsi="Invesco Interstate Light" w:hint="eastAsia"/>
          <w:i/>
          <w:sz w:val="22"/>
          <w:szCs w:val="22"/>
          <w:lang w:val="cs-CZ"/>
        </w:rPr>
        <w:t>ěž</w:t>
      </w:r>
      <w:r w:rsidR="00353FA9" w:rsidRPr="007D3BBF">
        <w:rPr>
          <w:rFonts w:ascii="Invesco Interstate Light" w:hAnsi="Invesco Interstate Light"/>
          <w:i/>
          <w:sz w:val="22"/>
          <w:szCs w:val="22"/>
          <w:lang w:val="cs-CZ"/>
        </w:rPr>
        <w:t>ní zásoby. Pokud se na n</w:t>
      </w:r>
      <w:r w:rsidR="00353FA9" w:rsidRPr="007D3BBF">
        <w:rPr>
          <w:rFonts w:ascii="Invesco Interstate Light" w:hAnsi="Invesco Interstate Light" w:hint="eastAsia"/>
          <w:i/>
          <w:sz w:val="22"/>
          <w:szCs w:val="22"/>
          <w:lang w:val="cs-CZ"/>
        </w:rPr>
        <w:t>ě</w:t>
      </w:r>
      <w:r w:rsidR="00353FA9" w:rsidRPr="007D3BBF">
        <w:rPr>
          <w:rFonts w:ascii="Invesco Interstate Light" w:hAnsi="Invesco Interstate Light"/>
          <w:i/>
          <w:sz w:val="22"/>
          <w:szCs w:val="22"/>
          <w:lang w:val="cs-CZ"/>
        </w:rPr>
        <w:t>j díváme jako na p</w:t>
      </w:r>
      <w:r w:rsidR="00353FA9" w:rsidRPr="007D3BBF">
        <w:rPr>
          <w:rFonts w:ascii="Invesco Interstate Light" w:hAnsi="Invesco Interstate Light" w:hint="eastAsia"/>
          <w:i/>
          <w:sz w:val="22"/>
          <w:szCs w:val="22"/>
          <w:lang w:val="cs-CZ"/>
        </w:rPr>
        <w:t>ř</w:t>
      </w:r>
      <w:r w:rsidR="00353FA9" w:rsidRPr="007D3BBF">
        <w:rPr>
          <w:rFonts w:ascii="Invesco Interstate Light" w:hAnsi="Invesco Interstate Light"/>
          <w:i/>
          <w:sz w:val="22"/>
          <w:szCs w:val="22"/>
          <w:lang w:val="cs-CZ"/>
        </w:rPr>
        <w:t>edpov</w:t>
      </w:r>
      <w:r w:rsidR="00353FA9" w:rsidRPr="007D3BBF">
        <w:rPr>
          <w:rFonts w:ascii="Invesco Interstate Light" w:hAnsi="Invesco Interstate Light" w:hint="eastAsia"/>
          <w:i/>
          <w:sz w:val="22"/>
          <w:szCs w:val="22"/>
          <w:lang w:val="cs-CZ"/>
        </w:rPr>
        <w:t>ěď</w:t>
      </w:r>
      <w:r w:rsidR="00353FA9" w:rsidRPr="007D3BBF">
        <w:rPr>
          <w:rFonts w:ascii="Invesco Interstate Light" w:hAnsi="Invesco Interstate Light"/>
          <w:i/>
          <w:sz w:val="22"/>
          <w:szCs w:val="22"/>
          <w:lang w:val="cs-CZ"/>
        </w:rPr>
        <w:t xml:space="preserve"> inflace, nazna</w:t>
      </w:r>
      <w:r w:rsidR="00353FA9" w:rsidRPr="007D3BBF">
        <w:rPr>
          <w:rFonts w:ascii="Invesco Interstate Light" w:hAnsi="Invesco Interstate Light" w:hint="eastAsia"/>
          <w:i/>
          <w:sz w:val="22"/>
          <w:szCs w:val="22"/>
          <w:lang w:val="cs-CZ"/>
        </w:rPr>
        <w:t>č</w:t>
      </w:r>
      <w:r w:rsidR="00353FA9" w:rsidRPr="007D3BBF">
        <w:rPr>
          <w:rFonts w:ascii="Invesco Interstate Light" w:hAnsi="Invesco Interstate Light"/>
          <w:i/>
          <w:sz w:val="22"/>
          <w:szCs w:val="22"/>
          <w:lang w:val="cs-CZ"/>
        </w:rPr>
        <w:t xml:space="preserve">uje to, že nás </w:t>
      </w:r>
      <w:r w:rsidR="00353FA9" w:rsidRPr="007D3BBF">
        <w:rPr>
          <w:rFonts w:ascii="Invesco Interstate Light" w:hAnsi="Invesco Interstate Light" w:hint="eastAsia"/>
          <w:i/>
          <w:sz w:val="22"/>
          <w:szCs w:val="22"/>
          <w:lang w:val="cs-CZ"/>
        </w:rPr>
        <w:t>č</w:t>
      </w:r>
      <w:r w:rsidR="00353FA9" w:rsidRPr="007D3BBF">
        <w:rPr>
          <w:rFonts w:ascii="Invesco Interstate Light" w:hAnsi="Invesco Interstate Light"/>
          <w:i/>
          <w:sz w:val="22"/>
          <w:szCs w:val="22"/>
          <w:lang w:val="cs-CZ"/>
        </w:rPr>
        <w:t>ekají menší infla</w:t>
      </w:r>
      <w:r w:rsidR="00353FA9" w:rsidRPr="007D3BBF">
        <w:rPr>
          <w:rFonts w:ascii="Invesco Interstate Light" w:hAnsi="Invesco Interstate Light" w:hint="eastAsia"/>
          <w:i/>
          <w:sz w:val="22"/>
          <w:szCs w:val="22"/>
          <w:lang w:val="cs-CZ"/>
        </w:rPr>
        <w:t>č</w:t>
      </w:r>
      <w:r w:rsidR="00353FA9" w:rsidRPr="007D3BBF">
        <w:rPr>
          <w:rFonts w:ascii="Invesco Interstate Light" w:hAnsi="Invesco Interstate Light"/>
          <w:i/>
          <w:sz w:val="22"/>
          <w:szCs w:val="22"/>
          <w:lang w:val="cs-CZ"/>
        </w:rPr>
        <w:t>ní tlaky</w:t>
      </w:r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>,</w:t>
      </w:r>
      <w:r w:rsidR="005F7EEE">
        <w:rPr>
          <w:rFonts w:ascii="Invesco Interstate Light" w:hAnsi="Invesco Interstate Light"/>
          <w:sz w:val="22"/>
          <w:szCs w:val="22"/>
          <w:lang w:val="cs-CZ"/>
        </w:rPr>
        <w:t>“</w:t>
      </w:r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 xml:space="preserve"> poznamenává </w:t>
      </w:r>
      <w:r w:rsidRPr="008963FE">
        <w:rPr>
          <w:rFonts w:ascii="Invesco Interstate Light" w:hAnsi="Invesco Interstate Light"/>
          <w:sz w:val="22"/>
          <w:szCs w:val="22"/>
          <w:lang w:val="cs-CZ"/>
        </w:rPr>
        <w:t xml:space="preserve">Eva </w:t>
      </w:r>
      <w:proofErr w:type="spellStart"/>
      <w:r w:rsidRPr="008963FE">
        <w:rPr>
          <w:rFonts w:ascii="Invesco Interstate Light" w:hAnsi="Invesco Interstate Light"/>
          <w:sz w:val="22"/>
          <w:szCs w:val="22"/>
          <w:lang w:val="cs-CZ"/>
        </w:rPr>
        <w:t>Miklášová</w:t>
      </w:r>
      <w:proofErr w:type="spellEnd"/>
      <w:r w:rsidR="00353FA9" w:rsidRPr="00353FA9">
        <w:rPr>
          <w:rFonts w:ascii="Invesco Interstate Light" w:hAnsi="Invesco Interstate Light"/>
          <w:sz w:val="22"/>
          <w:szCs w:val="22"/>
          <w:lang w:val="cs-CZ"/>
        </w:rPr>
        <w:t>.</w:t>
      </w:r>
    </w:p>
    <w:p w14:paraId="56DDA493" w14:textId="77777777" w:rsidR="00A87ED7" w:rsidRPr="00353FA9" w:rsidRDefault="00A87ED7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</w:p>
    <w:p w14:paraId="412E4EC0" w14:textId="4F1B7635" w:rsidR="00A87ED7" w:rsidRPr="00353FA9" w:rsidRDefault="00A87ED7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Odborníci společnosti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očekávají, že Federální rezervní systém (Fed) bude ve svých politikách i nadále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akomodativní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a ke zvýšení sazeb dojde v druhé polovině roku 2022. Domnívají se ale, že centrální banky ostatních vyspělých zemí mohou jednat rychleji. Očekávají, že v roce 2022 postupně dojde ke změnám v růstu, odkloní se od politických stimulů růstu a samotná míra růstu se normalizuje s tím, jak se do normálu dostávají i výdaje podniků a domácností. Podle názoru analytiků je pravděpodobné, že pokračující neobvykle vysoké úspory domácností bude kompenzovat zpřísňování fiskální politiky, což umožní další uvolnění zadržované poptávky.</w:t>
      </w:r>
    </w:p>
    <w:p w14:paraId="36A81AE2" w14:textId="796FD4C6" w:rsidR="00A87ED7" w:rsidRPr="00353FA9" w:rsidRDefault="00A87ED7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</w:p>
    <w:p w14:paraId="621E6919" w14:textId="4D8D89DB" w:rsidR="00A87ED7" w:rsidRPr="00353FA9" w:rsidRDefault="00A87ED7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>Vzhledem k tomu, že oživení a opětovné otevření trhů díky rostoucí imunitě probíhá a americký dolar zůstává relativně neutrální</w:t>
      </w:r>
      <w:r w:rsidR="007B1A07">
        <w:rPr>
          <w:rFonts w:ascii="Invesco Interstate Light" w:hAnsi="Invesco Interstate Light"/>
          <w:sz w:val="22"/>
          <w:szCs w:val="22"/>
          <w:lang w:val="cs-CZ"/>
        </w:rPr>
        <w:t xml:space="preserve"> v</w:t>
      </w:r>
      <w:r w:rsidR="00174EE9">
        <w:rPr>
          <w:rFonts w:ascii="Invesco Interstate Light" w:hAnsi="Invesco Interstate Light"/>
          <w:sz w:val="22"/>
          <w:szCs w:val="22"/>
          <w:lang w:val="cs-CZ"/>
        </w:rPr>
        <w:t> porovnání s rozvinutými trhy</w:t>
      </w:r>
      <w:r w:rsidR="00692082">
        <w:rPr>
          <w:rFonts w:ascii="Invesco Interstate Light" w:hAnsi="Invesco Interstate Light"/>
          <w:sz w:val="22"/>
          <w:szCs w:val="22"/>
          <w:lang w:val="cs-CZ"/>
        </w:rPr>
        <w:t xml:space="preserve">, vidí odborníci společnosti </w:t>
      </w:r>
      <w:proofErr w:type="spellStart"/>
      <w:r w:rsidR="00692082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="00692082">
        <w:rPr>
          <w:rFonts w:ascii="Invesco Interstate Light" w:hAnsi="Invesco Interstate Light"/>
          <w:sz w:val="22"/>
          <w:szCs w:val="22"/>
          <w:lang w:val="cs-CZ"/>
        </w:rPr>
        <w:t>, že</w:t>
      </w:r>
      <w:r w:rsidR="007B0154">
        <w:rPr>
          <w:rFonts w:ascii="Invesco Interstate Light" w:hAnsi="Invesco Interstate Light"/>
          <w:sz w:val="22"/>
          <w:szCs w:val="22"/>
          <w:lang w:val="cs-CZ"/>
        </w:rPr>
        <w:t xml:space="preserve"> rozvíjející</w:t>
      </w:r>
      <w:r w:rsidR="00692082">
        <w:rPr>
          <w:rFonts w:ascii="Invesco Interstate Light" w:hAnsi="Invesco Interstate Light"/>
          <w:sz w:val="22"/>
          <w:szCs w:val="22"/>
          <w:lang w:val="cs-CZ"/>
        </w:rPr>
        <w:t xml:space="preserve"> trhy se zotavují.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Vzhledem k tomu, že zpřísňování měnové politiky se zdá být v mnoha rozvíjejících se tržních ekonomikách také relativně pokročilé, očekávají další změny politik rozvíjejících se trhů, které budou odrážet růstové a inflační tlaky specifické pro danou zemi, protože Fed normalizuje svou politiku v souladu se svými pokyny.</w:t>
      </w:r>
    </w:p>
    <w:p w14:paraId="43B2D61F" w14:textId="77777777" w:rsidR="00A87ED7" w:rsidRPr="00353FA9" w:rsidRDefault="00A87ED7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</w:p>
    <w:p w14:paraId="001B0C8F" w14:textId="5D458F89" w:rsidR="00A87ED7" w:rsidRPr="00353FA9" w:rsidRDefault="007B0154" w:rsidP="00144DD2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>
        <w:rPr>
          <w:rFonts w:ascii="Invesco Interstate Light" w:hAnsi="Invesco Interstate Light"/>
          <w:sz w:val="22"/>
          <w:szCs w:val="22"/>
          <w:lang w:val="cs-CZ"/>
        </w:rPr>
        <w:t>„</w:t>
      </w:r>
      <w:r w:rsidR="00A87ED7" w:rsidRPr="007D3BBF">
        <w:rPr>
          <w:rFonts w:ascii="Invesco Interstate Light" w:hAnsi="Invesco Interstate Light"/>
          <w:i/>
          <w:sz w:val="22"/>
          <w:szCs w:val="22"/>
          <w:lang w:val="cs-CZ"/>
        </w:rPr>
        <w:t>Zpomalující režimy, kdy je růst nad trendem</w:t>
      </w:r>
      <w:r w:rsidR="00C110F7" w:rsidRPr="007D3BBF">
        <w:rPr>
          <w:rFonts w:ascii="Invesco Interstate Light" w:hAnsi="Invesco Interstate Light"/>
          <w:i/>
          <w:sz w:val="22"/>
          <w:szCs w:val="22"/>
          <w:lang w:val="cs-CZ"/>
        </w:rPr>
        <w:t>, ale zvol</w:t>
      </w:r>
      <w:r w:rsidR="00C110F7" w:rsidRPr="007D3BBF">
        <w:rPr>
          <w:rFonts w:ascii="Invesco Interstate Light" w:hAnsi="Invesco Interstate Light" w:hint="eastAsia"/>
          <w:i/>
          <w:sz w:val="22"/>
          <w:szCs w:val="22"/>
          <w:lang w:val="cs-CZ"/>
        </w:rPr>
        <w:t>ň</w:t>
      </w:r>
      <w:r w:rsidR="00C110F7" w:rsidRPr="007D3BBF">
        <w:rPr>
          <w:rFonts w:ascii="Invesco Interstate Light" w:hAnsi="Invesco Interstate Light"/>
          <w:i/>
          <w:sz w:val="22"/>
          <w:szCs w:val="22"/>
          <w:lang w:val="cs-CZ"/>
        </w:rPr>
        <w:t xml:space="preserve">ují, </w:t>
      </w:r>
      <w:r w:rsidR="00A87ED7" w:rsidRPr="007D3BBF">
        <w:rPr>
          <w:rFonts w:ascii="Invesco Interstate Light" w:hAnsi="Invesco Interstate Light"/>
          <w:i/>
          <w:sz w:val="22"/>
          <w:szCs w:val="22"/>
          <w:lang w:val="cs-CZ"/>
        </w:rPr>
        <w:t>se obvykle vyznačují vyšší volatilitou a větší konvergencí výnosů napříč třídami aktiv,</w:t>
      </w:r>
      <w:r>
        <w:rPr>
          <w:rFonts w:ascii="Invesco Interstate Light" w:hAnsi="Invesco Interstate Light"/>
          <w:sz w:val="22"/>
          <w:szCs w:val="22"/>
          <w:lang w:val="cs-CZ"/>
        </w:rPr>
        <w:t>“</w:t>
      </w:r>
      <w:r w:rsidR="00A87ED7" w:rsidRPr="00353FA9">
        <w:rPr>
          <w:rFonts w:ascii="Invesco Interstate Light" w:hAnsi="Invesco Interstate Light"/>
          <w:sz w:val="22"/>
          <w:szCs w:val="22"/>
          <w:lang w:val="cs-CZ"/>
        </w:rPr>
        <w:t xml:space="preserve"> vysvětluje</w:t>
      </w:r>
      <w:r w:rsidR="008963FE">
        <w:rPr>
          <w:rFonts w:ascii="Invesco Interstate Light" w:hAnsi="Invesco Interstate Light"/>
          <w:sz w:val="22"/>
          <w:szCs w:val="22"/>
          <w:lang w:val="cs-CZ"/>
        </w:rPr>
        <w:t xml:space="preserve"> Eva </w:t>
      </w:r>
      <w:proofErr w:type="spellStart"/>
      <w:r w:rsidR="008963FE">
        <w:rPr>
          <w:rFonts w:ascii="Invesco Interstate Light" w:hAnsi="Invesco Interstate Light"/>
          <w:sz w:val="22"/>
          <w:szCs w:val="22"/>
          <w:lang w:val="cs-CZ"/>
        </w:rPr>
        <w:t>Miklášová</w:t>
      </w:r>
      <w:proofErr w:type="spellEnd"/>
      <w:r w:rsidR="00A87ED7" w:rsidRPr="00353FA9">
        <w:rPr>
          <w:rFonts w:ascii="Invesco Interstate Light" w:hAnsi="Invesco Interstate Light"/>
          <w:sz w:val="22"/>
          <w:szCs w:val="22"/>
          <w:lang w:val="cs-CZ"/>
        </w:rPr>
        <w:t xml:space="preserve">. </w:t>
      </w:r>
      <w:r>
        <w:rPr>
          <w:rFonts w:ascii="Invesco Interstate Light" w:hAnsi="Invesco Interstate Light"/>
          <w:sz w:val="22"/>
          <w:szCs w:val="22"/>
          <w:lang w:val="cs-CZ"/>
        </w:rPr>
        <w:t>„</w:t>
      </w:r>
      <w:r w:rsidR="00A87ED7" w:rsidRPr="007D3BBF">
        <w:rPr>
          <w:rFonts w:ascii="Invesco Interstate Light" w:hAnsi="Invesco Interstate Light"/>
          <w:i/>
          <w:sz w:val="22"/>
          <w:szCs w:val="22"/>
          <w:lang w:val="cs-CZ"/>
        </w:rPr>
        <w:t xml:space="preserve">Očekáváme, že dojde k poklesu </w:t>
      </w:r>
      <w:r w:rsidR="00A87ED7" w:rsidRPr="007D3BBF">
        <w:rPr>
          <w:rFonts w:ascii="Invesco Interstate Light" w:hAnsi="Invesco Interstate Light"/>
          <w:i/>
          <w:sz w:val="22"/>
          <w:szCs w:val="22"/>
          <w:lang w:val="cs-CZ"/>
        </w:rPr>
        <w:lastRenderedPageBreak/>
        <w:t>kompenzace růstového rizika a postupnému obratu směrem k defenzivním aktivům.</w:t>
      </w:r>
      <w:r>
        <w:rPr>
          <w:rFonts w:ascii="Invesco Interstate Light" w:hAnsi="Invesco Interstate Light"/>
          <w:sz w:val="22"/>
          <w:szCs w:val="22"/>
          <w:lang w:val="cs-CZ"/>
        </w:rPr>
        <w:t>“</w:t>
      </w:r>
      <w:r>
        <w:rPr>
          <w:rFonts w:ascii="Invesco Interstate Light" w:hAnsi="Invesco Interstate Light"/>
          <w:sz w:val="22"/>
          <w:szCs w:val="22"/>
          <w:lang w:val="cs-CZ"/>
        </w:rPr>
        <w:br/>
      </w:r>
    </w:p>
    <w:p w14:paraId="1A08740D" w14:textId="0DFB04CB" w:rsidR="00353FA9" w:rsidRPr="00353FA9" w:rsidRDefault="00A87ED7" w:rsidP="00353FA9">
      <w:pPr>
        <w:spacing w:line="240" w:lineRule="auto"/>
        <w:jc w:val="both"/>
        <w:rPr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V základním scénáři odborníci společnosti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preferují akcie, alternativní nástroje a komodity. Snížili by svou rizikovou pozici tak, že mírně nadváží akcie, ale s příklonem k defenzivním sektorům, jako je IT, komunikace, zdravotnictví, nemovitosti a nezbytné spotřební zboží. Vzhledem k očekávání pomalejšího růstu a stabilním (nebo nižším) výnosům dlouhodobých dluhopisů </w:t>
      </w:r>
      <w:r w:rsidRPr="00500779">
        <w:rPr>
          <w:rFonts w:ascii="Invesco Interstate Light" w:hAnsi="Invesco Interstate Light"/>
          <w:sz w:val="22"/>
          <w:szCs w:val="22"/>
          <w:lang w:val="cs-CZ"/>
        </w:rPr>
        <w:t>by upřednostňovali kvalitní a velké</w:t>
      </w:r>
      <w:r w:rsidR="00692082" w:rsidRPr="00500779">
        <w:rPr>
          <w:rFonts w:ascii="Invesco Interstate Light" w:hAnsi="Invesco Interstate Light"/>
          <w:sz w:val="22"/>
          <w:szCs w:val="22"/>
          <w:lang w:val="cs-CZ"/>
        </w:rPr>
        <w:t xml:space="preserve"> trhy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. Na regionální úrovni by investiční experti </w:t>
      </w:r>
      <w:r w:rsidR="007D3BBF">
        <w:rPr>
          <w:rFonts w:ascii="Invesco Interstate Light" w:hAnsi="Invesco Interstate Light"/>
          <w:sz w:val="22"/>
          <w:szCs w:val="22"/>
          <w:lang w:val="cs-CZ"/>
        </w:rPr>
        <w:t xml:space="preserve">preferovali 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>rozvíjející se trhy na základě cyklické divergence a americké akcie před ostatními rozvinutými trhy, protože globální zpomalení dává přednost regionům s nižší cyklickou expozicí a nižší provozním úvěrem</w:t>
      </w:r>
      <w:r w:rsidR="007B0154">
        <w:rPr>
          <w:lang w:val="cs-CZ"/>
        </w:rPr>
        <w:t>.</w:t>
      </w:r>
    </w:p>
    <w:p w14:paraId="571DEF04" w14:textId="77777777" w:rsidR="00353FA9" w:rsidRPr="00353FA9" w:rsidRDefault="00353FA9" w:rsidP="00353FA9">
      <w:pPr>
        <w:spacing w:line="240" w:lineRule="auto"/>
        <w:jc w:val="both"/>
        <w:rPr>
          <w:lang w:val="cs-CZ"/>
        </w:rPr>
      </w:pPr>
    </w:p>
    <w:p w14:paraId="3691C7DA" w14:textId="782C00A2" w:rsidR="00353FA9" w:rsidRPr="00353FA9" w:rsidRDefault="00353FA9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>U nástrojů s pevnými výnosy analytici argumentují tím, že solidní hospodářský růst podporuje úvěrové fundamenty a nízké úrokové sazby dluhopisů na celém světě</w:t>
      </w:r>
      <w:r w:rsidR="00086E80">
        <w:rPr>
          <w:rFonts w:ascii="Invesco Interstate Light" w:hAnsi="Invesco Interstate Light"/>
          <w:sz w:val="22"/>
          <w:szCs w:val="22"/>
          <w:lang w:val="cs-CZ"/>
        </w:rPr>
        <w:t>,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nadále podporují technickou stránku úvěrových trhů. </w:t>
      </w:r>
      <w:r w:rsidR="00500779">
        <w:rPr>
          <w:rFonts w:ascii="Invesco Interstate Light" w:hAnsi="Invesco Interstate Light"/>
          <w:sz w:val="22"/>
          <w:szCs w:val="22"/>
          <w:lang w:val="cs-CZ"/>
        </w:rPr>
        <w:t>„</w:t>
      </w:r>
      <w:r w:rsidRPr="007B1A07">
        <w:rPr>
          <w:rFonts w:ascii="Invesco Interstate Light" w:hAnsi="Invesco Interstate Light"/>
          <w:i/>
          <w:sz w:val="22"/>
          <w:szCs w:val="22"/>
          <w:lang w:val="cs-CZ"/>
        </w:rPr>
        <w:t>Ocenění jsou však v historickém kontextu velmi napjatá, což omezuje potenciální růst v případě utahování spreadů a naopak zvětšuje možný pokles v případě jejich rozšiřování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>,</w:t>
      </w:r>
      <w:r w:rsidR="00500779">
        <w:rPr>
          <w:rFonts w:ascii="Invesco Interstate Light" w:hAnsi="Invesco Interstate Light"/>
          <w:sz w:val="22"/>
          <w:szCs w:val="22"/>
          <w:lang w:val="cs-CZ"/>
        </w:rPr>
        <w:t>“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říká</w:t>
      </w:r>
      <w:r w:rsidR="008963FE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="008963FE" w:rsidRPr="00353FA9">
        <w:rPr>
          <w:rFonts w:ascii="Invesco Interstate Light" w:hAnsi="Invesco Interstate Light"/>
          <w:sz w:val="22"/>
          <w:szCs w:val="22"/>
          <w:lang w:val="cs-CZ"/>
        </w:rPr>
        <w:t>Henning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Stein a dodává, že nízké úrovně</w:t>
      </w:r>
      <w:r w:rsidR="00C110F7">
        <w:rPr>
          <w:rFonts w:ascii="Invesco Interstate Light" w:hAnsi="Invesco Interstate Light"/>
          <w:sz w:val="22"/>
          <w:szCs w:val="22"/>
          <w:lang w:val="cs-CZ"/>
        </w:rPr>
        <w:t xml:space="preserve"> celkových výnosů zvyšují rizika, 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pokud by celkové výnosy rostly. Odborníci společnosti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poukazují na to, že na bankovní úvěry mají potenciál být atraktivní třídou aktiv, která je podporována silnými úvěrovými základy a může těžit z růstu sazeb, protože bankovní úvěry mají pohyblivé úrokové sazby. Odborníci společnosti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by však volili mírné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nadvážení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na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duraci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, přičemž očekávají vyšší sazby u střednědobých splatností, ale stabilní až nižší výnosy u těch </w:t>
      </w:r>
      <w:r w:rsidR="00C110F7">
        <w:rPr>
          <w:rFonts w:ascii="Invesco Interstate Light" w:hAnsi="Invesco Interstate Light"/>
          <w:sz w:val="22"/>
          <w:szCs w:val="22"/>
          <w:lang w:val="cs-CZ"/>
        </w:rPr>
        <w:t xml:space="preserve">delších. Rovněž by </w:t>
      </w:r>
      <w:proofErr w:type="spellStart"/>
      <w:r w:rsidR="00C110F7">
        <w:rPr>
          <w:rFonts w:ascii="Invesco Interstate Light" w:hAnsi="Invesco Interstate Light"/>
          <w:sz w:val="22"/>
          <w:szCs w:val="22"/>
          <w:lang w:val="cs-CZ"/>
        </w:rPr>
        <w:t>nadvážili</w:t>
      </w:r>
      <w:proofErr w:type="spellEnd"/>
      <w:r w:rsidR="00C110F7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>americké státní dluhopisy.</w:t>
      </w:r>
    </w:p>
    <w:p w14:paraId="11ACC805" w14:textId="77777777" w:rsidR="00353FA9" w:rsidRPr="00353FA9" w:rsidRDefault="00353FA9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</w:p>
    <w:p w14:paraId="2C8228C8" w14:textId="30683B06" w:rsidR="00353FA9" w:rsidRPr="00353FA9" w:rsidRDefault="00353FA9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V oblasti alternativních investic upřednostňují </w:t>
      </w:r>
      <w:r w:rsidR="007D3BBF" w:rsidRPr="00353FA9">
        <w:rPr>
          <w:rFonts w:ascii="Invesco Interstate Light" w:hAnsi="Invesco Interstate Light"/>
          <w:sz w:val="22"/>
          <w:szCs w:val="22"/>
          <w:lang w:val="cs-CZ"/>
        </w:rPr>
        <w:t>analytici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Invesca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růstové a rizikové kategorie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private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equity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>, protože očekávají, že obě kategorie budou i nadále dosahovat lepších výsledků i v různých makroekonomických scénářích. Podle jejich názoru by strategie přímého úvěrování měly i nadále těžit ze silných úvěrových základů a potenciálně i z rostoucích úrokových sazeb vzhledem k jejich struktuře s pohyblivou úrokovou sazbou. Reálná aktiva mezitím příznivě reagují na inflaci, a to jak v důsledku rostoucích výnosů, tak v důsledku zhodnocování fyzických aktiv. Podle investičních s</w:t>
      </w:r>
      <w:r w:rsidR="00D103F0">
        <w:rPr>
          <w:rFonts w:ascii="Invesco Interstate Light" w:hAnsi="Invesco Interstate Light"/>
          <w:sz w:val="22"/>
          <w:szCs w:val="22"/>
          <w:lang w:val="cs-CZ"/>
        </w:rPr>
        <w:t xml:space="preserve">tratégů společnosti </w:t>
      </w:r>
      <w:proofErr w:type="spellStart"/>
      <w:r w:rsidR="00D103F0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="00D103F0">
        <w:rPr>
          <w:rFonts w:ascii="Invesco Interstate Light" w:hAnsi="Invesco Interstate Light"/>
          <w:sz w:val="22"/>
          <w:szCs w:val="22"/>
          <w:lang w:val="cs-CZ"/>
        </w:rPr>
        <w:t xml:space="preserve"> směřuje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potenciál pokračujícího oživení světového obchodu, osobní dopravy a obsazenosti kanceláří spolu s relativně atraktivním oceněním a ochranou proti inflaci</w:t>
      </w:r>
      <w:r w:rsidR="00D103F0">
        <w:rPr>
          <w:rFonts w:ascii="Invesco Interstate Light" w:hAnsi="Invesco Interstate Light"/>
          <w:sz w:val="22"/>
          <w:szCs w:val="22"/>
          <w:lang w:val="cs-CZ"/>
        </w:rPr>
        <w:t>,</w:t>
      </w: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k příznivému výhledu pro nemovitosti.</w:t>
      </w:r>
    </w:p>
    <w:p w14:paraId="766F9979" w14:textId="186346A4" w:rsidR="00A87ED7" w:rsidRPr="00353FA9" w:rsidRDefault="00A87ED7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</w:p>
    <w:p w14:paraId="6037EEB5" w14:textId="5CCD79EE" w:rsidR="00353FA9" w:rsidRPr="00353FA9" w:rsidRDefault="00353FA9" w:rsidP="00353FA9">
      <w:pPr>
        <w:spacing w:line="240" w:lineRule="auto"/>
        <w:jc w:val="both"/>
        <w:rPr>
          <w:rFonts w:ascii="Invesco Interstate Light" w:hAnsi="Invesco Interstate Light"/>
          <w:sz w:val="22"/>
          <w:szCs w:val="22"/>
          <w:lang w:val="cs-CZ"/>
        </w:rPr>
      </w:pPr>
    </w:p>
    <w:p w14:paraId="51CB9A0B" w14:textId="77777777" w:rsidR="00353FA9" w:rsidRPr="00353FA9" w:rsidRDefault="00353FA9" w:rsidP="00A87ED7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72F1354C" w14:textId="2A968917" w:rsidR="00A87ED7" w:rsidRPr="00353FA9" w:rsidRDefault="00A87ED7" w:rsidP="00A87ED7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4B242ED0" w14:textId="77777777" w:rsidR="00C110F7" w:rsidRDefault="00C110F7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  <w:r>
        <w:rPr>
          <w:rFonts w:ascii="Invesco Interstate Light" w:hAnsi="Invesco Interstate Light"/>
          <w:b/>
          <w:bCs/>
          <w:sz w:val="22"/>
          <w:szCs w:val="22"/>
          <w:lang w:val="cs-CZ"/>
        </w:rPr>
        <w:br w:type="page"/>
      </w:r>
    </w:p>
    <w:p w14:paraId="26876388" w14:textId="77777777" w:rsidR="00144DD2" w:rsidRDefault="00144DD2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</w:p>
    <w:p w14:paraId="62EF3564" w14:textId="77777777" w:rsidR="00144DD2" w:rsidRDefault="00144DD2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</w:p>
    <w:p w14:paraId="0DE038D0" w14:textId="77777777" w:rsidR="00144DD2" w:rsidRDefault="00144DD2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</w:p>
    <w:p w14:paraId="6C954B4A" w14:textId="1755A192" w:rsidR="00353FA9" w:rsidRPr="00353FA9" w:rsidRDefault="00353FA9" w:rsidP="00353FA9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b/>
          <w:bCs/>
          <w:sz w:val="22"/>
          <w:szCs w:val="22"/>
          <w:lang w:val="cs-CZ"/>
        </w:rPr>
        <w:t xml:space="preserve">Varování před riziky </w:t>
      </w:r>
    </w:p>
    <w:p w14:paraId="3676490C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72DD323D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Hodnota investic a výnosy z nich podléhají výkyvům.  </w:t>
      </w:r>
    </w:p>
    <w:p w14:paraId="2ADD490B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1A352D06" w14:textId="74C42F3E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To může být částečně způsobeno změnami směnných kurzů. Investoři nemusí získat zpět celou investovanou částku. Minulá výkonnost není vodítkem pro budoucí výnosy. </w:t>
      </w:r>
    </w:p>
    <w:p w14:paraId="050CF86E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5DA33EBE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b/>
          <w:bCs/>
          <w:sz w:val="22"/>
          <w:szCs w:val="22"/>
          <w:lang w:val="cs-CZ"/>
        </w:rPr>
        <w:t xml:space="preserve">Důležité informace </w:t>
      </w:r>
    </w:p>
    <w:p w14:paraId="5AAAF45C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697E1A54" w14:textId="5E6F1802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Tato tisková zpráva je určena pouze pro odborný tisk. Tento dokument má pouze informativní charakter. Názory a stanoviska vycházejí z aktuálních tržních podmínek a mohou se změnit. </w:t>
      </w:r>
    </w:p>
    <w:p w14:paraId="25C5068C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7D173B07" w14:textId="77777777" w:rsidR="00500779" w:rsidRDefault="00500779" w:rsidP="00353FA9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</w:p>
    <w:p w14:paraId="7F406C15" w14:textId="77777777" w:rsidR="00500779" w:rsidRDefault="00500779" w:rsidP="00353FA9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</w:p>
    <w:p w14:paraId="71D91150" w14:textId="265F04BF" w:rsidR="00353FA9" w:rsidRPr="00353FA9" w:rsidRDefault="00353FA9" w:rsidP="00353FA9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b/>
          <w:bCs/>
          <w:sz w:val="22"/>
          <w:szCs w:val="22"/>
          <w:lang w:val="cs-CZ"/>
        </w:rPr>
        <w:t xml:space="preserve">O společnosti </w:t>
      </w:r>
      <w:proofErr w:type="spellStart"/>
      <w:r w:rsidRPr="00353FA9">
        <w:rPr>
          <w:rFonts w:ascii="Invesco Interstate Light" w:hAnsi="Invesco Interstate Light"/>
          <w:b/>
          <w:bCs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b/>
          <w:bCs/>
          <w:sz w:val="22"/>
          <w:szCs w:val="22"/>
          <w:lang w:val="cs-CZ"/>
        </w:rPr>
        <w:t xml:space="preserve"> </w:t>
      </w:r>
    </w:p>
    <w:p w14:paraId="2F7A0F38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58512F67" w14:textId="1CA961C4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Asset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Management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Deutschland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GmbH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,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Asset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Management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Österreich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- pobočka pobočky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Asset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Management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Deutschland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GmbH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- jsou součástí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gramStart"/>
      <w:r w:rsidRPr="00353FA9">
        <w:rPr>
          <w:rFonts w:ascii="Invesco Interstate Light" w:hAnsi="Invesco Interstate Light"/>
          <w:sz w:val="22"/>
          <w:szCs w:val="22"/>
          <w:lang w:val="cs-CZ"/>
        </w:rPr>
        <w:t>Ltd.,  společnosti</w:t>
      </w:r>
      <w:proofErr w:type="gram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pro správu aktiv se spravovanými aktivy v hodnotě více než 1 593 miliard USD (k 31. říjnu 2021). </w:t>
      </w:r>
    </w:p>
    <w:p w14:paraId="3D945717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27EA7DE3" w14:textId="4337E2FB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 V případě jakýchkoli dotazů nebo potřeby dalších informací se obraťte na společnost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Asset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Management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Deutschland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GmbH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, Valentin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Jakubow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, telefon +49 69 29807-311. </w:t>
      </w:r>
    </w:p>
    <w:p w14:paraId="69EC2C41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462C76ED" w14:textId="4BC3D098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Obsažené informace nepředstavují investiční doporučení ani jiné poradenství.  </w:t>
      </w:r>
    </w:p>
    <w:p w14:paraId="47412017" w14:textId="520B7C7E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Prognózy a výhledy trhu uvedené v tomto materiálu jsou subjektivní odhady a </w:t>
      </w:r>
      <w:proofErr w:type="gramStart"/>
      <w:r w:rsidRPr="00353FA9">
        <w:rPr>
          <w:rFonts w:ascii="Invesco Interstate Light" w:hAnsi="Invesco Interstate Light"/>
          <w:sz w:val="22"/>
          <w:szCs w:val="22"/>
          <w:lang w:val="cs-CZ"/>
        </w:rPr>
        <w:t>předpoklady  vedení</w:t>
      </w:r>
      <w:proofErr w:type="gram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fondu nebo jeho zástupců. Mohou se kdykoli změnit </w:t>
      </w:r>
      <w:proofErr w:type="gramStart"/>
      <w:r w:rsidRPr="00353FA9">
        <w:rPr>
          <w:rFonts w:ascii="Invesco Interstate Light" w:hAnsi="Invesco Interstate Light"/>
          <w:sz w:val="22"/>
          <w:szCs w:val="22"/>
          <w:lang w:val="cs-CZ"/>
        </w:rPr>
        <w:t>bez  předchozího</w:t>
      </w:r>
      <w:proofErr w:type="gram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upozornění. Nelze zaručit, že se prognózy uskuteční podle předpokladů. </w:t>
      </w:r>
    </w:p>
    <w:p w14:paraId="2878F005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429CA53E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Vydavatelem těchto informací v České republice je společnost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Invesco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Asset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Management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Deutschland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GmbH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,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An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der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Welle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5, D-60322 Frankfurt nad Mohanem. </w:t>
      </w:r>
    </w:p>
    <w:p w14:paraId="0E7C028F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Red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</w:t>
      </w:r>
      <w:proofErr w:type="spellStart"/>
      <w:r w:rsidRPr="00353FA9">
        <w:rPr>
          <w:rFonts w:ascii="Invesco Interstate Light" w:hAnsi="Invesco Interstate Light"/>
          <w:sz w:val="22"/>
          <w:szCs w:val="22"/>
          <w:lang w:val="cs-CZ"/>
        </w:rPr>
        <w:t>Oak</w:t>
      </w:r>
      <w:proofErr w:type="spellEnd"/>
      <w:r w:rsidRPr="00353FA9">
        <w:rPr>
          <w:rFonts w:ascii="Invesco Interstate Light" w:hAnsi="Invesco Interstate Light"/>
          <w:sz w:val="22"/>
          <w:szCs w:val="22"/>
          <w:lang w:val="cs-CZ"/>
        </w:rPr>
        <w:t xml:space="preserve"> ID: 1958016 </w:t>
      </w:r>
    </w:p>
    <w:p w14:paraId="467AE2EB" w14:textId="77777777" w:rsidR="00353FA9" w:rsidRPr="00353FA9" w:rsidRDefault="00353FA9" w:rsidP="00353FA9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0B9794F3" w14:textId="63C07D7E" w:rsidR="00A87ED7" w:rsidRPr="00353FA9" w:rsidRDefault="00A87ED7" w:rsidP="00A87ED7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6A9B4368" w14:textId="77777777" w:rsidR="00353FA9" w:rsidRPr="00353FA9" w:rsidRDefault="00353FA9" w:rsidP="00A87ED7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5242A771" w14:textId="77777777" w:rsidR="00A87ED7" w:rsidRPr="00353FA9" w:rsidRDefault="00A87ED7" w:rsidP="00A87ED7">
      <w:pPr>
        <w:spacing w:line="240" w:lineRule="auto"/>
        <w:rPr>
          <w:rFonts w:ascii="Invesco Interstate Light" w:hAnsi="Invesco Interstate Light"/>
          <w:sz w:val="22"/>
          <w:szCs w:val="22"/>
          <w:lang w:val="cs-CZ"/>
        </w:rPr>
      </w:pPr>
    </w:p>
    <w:p w14:paraId="62C7FD18" w14:textId="77777777" w:rsidR="00144DD2" w:rsidRPr="00144DD2" w:rsidRDefault="00144DD2" w:rsidP="00144DD2">
      <w:pPr>
        <w:spacing w:line="240" w:lineRule="auto"/>
        <w:rPr>
          <w:sz w:val="20"/>
          <w:szCs w:val="20"/>
          <w:u w:val="single"/>
        </w:rPr>
      </w:pPr>
      <w:r w:rsidRPr="00144DD2">
        <w:rPr>
          <w:b/>
          <w:sz w:val="20"/>
          <w:szCs w:val="20"/>
          <w:u w:val="single"/>
        </w:rPr>
        <w:t xml:space="preserve">Pro </w:t>
      </w:r>
      <w:proofErr w:type="spellStart"/>
      <w:r w:rsidRPr="00144DD2">
        <w:rPr>
          <w:b/>
          <w:sz w:val="20"/>
          <w:szCs w:val="20"/>
          <w:u w:val="single"/>
        </w:rPr>
        <w:t>více</w:t>
      </w:r>
      <w:proofErr w:type="spellEnd"/>
      <w:r w:rsidRPr="00144DD2">
        <w:rPr>
          <w:b/>
          <w:sz w:val="20"/>
          <w:szCs w:val="20"/>
          <w:u w:val="single"/>
        </w:rPr>
        <w:t xml:space="preserve"> </w:t>
      </w:r>
      <w:proofErr w:type="spellStart"/>
      <w:r w:rsidRPr="00144DD2">
        <w:rPr>
          <w:b/>
          <w:sz w:val="20"/>
          <w:szCs w:val="20"/>
          <w:u w:val="single"/>
        </w:rPr>
        <w:t>informací</w:t>
      </w:r>
      <w:proofErr w:type="spellEnd"/>
      <w:r w:rsidRPr="00144DD2">
        <w:rPr>
          <w:b/>
          <w:sz w:val="20"/>
          <w:szCs w:val="20"/>
          <w:u w:val="single"/>
        </w:rPr>
        <w:t xml:space="preserve"> </w:t>
      </w:r>
      <w:proofErr w:type="spellStart"/>
      <w:r w:rsidRPr="00144DD2">
        <w:rPr>
          <w:b/>
          <w:sz w:val="20"/>
          <w:szCs w:val="20"/>
          <w:u w:val="single"/>
        </w:rPr>
        <w:t>kontaktujte</w:t>
      </w:r>
      <w:proofErr w:type="spellEnd"/>
      <w:r w:rsidRPr="00144DD2">
        <w:rPr>
          <w:b/>
          <w:sz w:val="20"/>
          <w:szCs w:val="20"/>
          <w:u w:val="single"/>
        </w:rPr>
        <w:t>:</w:t>
      </w:r>
    </w:p>
    <w:p w14:paraId="2D457123" w14:textId="77777777" w:rsidR="00144DD2" w:rsidRPr="00144DD2" w:rsidRDefault="00144DD2" w:rsidP="00144DD2">
      <w:pPr>
        <w:spacing w:line="360" w:lineRule="auto"/>
        <w:rPr>
          <w:b/>
          <w:sz w:val="20"/>
          <w:szCs w:val="20"/>
        </w:rPr>
      </w:pPr>
    </w:p>
    <w:p w14:paraId="5C122960" w14:textId="77777777" w:rsidR="00144DD2" w:rsidRPr="00144DD2" w:rsidRDefault="00144DD2" w:rsidP="00144DD2">
      <w:pPr>
        <w:spacing w:line="240" w:lineRule="atLeast"/>
        <w:rPr>
          <w:b/>
          <w:sz w:val="20"/>
          <w:szCs w:val="20"/>
        </w:rPr>
      </w:pPr>
      <w:r w:rsidRPr="00144DD2">
        <w:rPr>
          <w:b/>
          <w:sz w:val="20"/>
          <w:szCs w:val="20"/>
        </w:rPr>
        <w:t>Eliška Krohová</w:t>
      </w:r>
    </w:p>
    <w:p w14:paraId="3FCA23AA" w14:textId="77777777" w:rsidR="00144DD2" w:rsidRPr="00144DD2" w:rsidRDefault="00144DD2" w:rsidP="00144DD2">
      <w:pPr>
        <w:spacing w:line="240" w:lineRule="atLeast"/>
        <w:rPr>
          <w:b/>
          <w:bCs/>
          <w:sz w:val="20"/>
          <w:szCs w:val="20"/>
        </w:rPr>
      </w:pPr>
      <w:proofErr w:type="spellStart"/>
      <w:r w:rsidRPr="00144DD2">
        <w:rPr>
          <w:b/>
          <w:bCs/>
          <w:sz w:val="20"/>
          <w:szCs w:val="20"/>
        </w:rPr>
        <w:t>Crest</w:t>
      </w:r>
      <w:proofErr w:type="spellEnd"/>
      <w:r w:rsidRPr="00144DD2">
        <w:rPr>
          <w:b/>
          <w:bCs/>
          <w:sz w:val="20"/>
          <w:szCs w:val="20"/>
        </w:rPr>
        <w:t xml:space="preserve"> Communications, </w:t>
      </w:r>
      <w:proofErr w:type="spellStart"/>
      <w:r w:rsidRPr="00144DD2">
        <w:rPr>
          <w:b/>
          <w:bCs/>
          <w:sz w:val="20"/>
          <w:szCs w:val="20"/>
        </w:rPr>
        <w:t>a.s.</w:t>
      </w:r>
      <w:proofErr w:type="spellEnd"/>
    </w:p>
    <w:p w14:paraId="48C6F7CA" w14:textId="77777777" w:rsidR="00144DD2" w:rsidRPr="00144DD2" w:rsidRDefault="00144DD2" w:rsidP="00144DD2">
      <w:pPr>
        <w:spacing w:line="240" w:lineRule="atLeast"/>
        <w:rPr>
          <w:sz w:val="20"/>
          <w:szCs w:val="20"/>
        </w:rPr>
      </w:pPr>
    </w:p>
    <w:p w14:paraId="141CE1B8" w14:textId="77777777" w:rsidR="00144DD2" w:rsidRPr="00144DD2" w:rsidRDefault="00144DD2" w:rsidP="00144DD2">
      <w:pPr>
        <w:spacing w:line="240" w:lineRule="atLeast"/>
        <w:rPr>
          <w:sz w:val="20"/>
          <w:szCs w:val="20"/>
        </w:rPr>
      </w:pPr>
      <w:proofErr w:type="spellStart"/>
      <w:r w:rsidRPr="00144DD2">
        <w:rPr>
          <w:sz w:val="20"/>
          <w:szCs w:val="20"/>
        </w:rPr>
        <w:t>Ostrovní</w:t>
      </w:r>
      <w:proofErr w:type="spellEnd"/>
      <w:r w:rsidRPr="00144DD2">
        <w:rPr>
          <w:sz w:val="20"/>
          <w:szCs w:val="20"/>
        </w:rPr>
        <w:t xml:space="preserve"> 126/30</w:t>
      </w:r>
    </w:p>
    <w:p w14:paraId="330C0173" w14:textId="77777777" w:rsidR="00144DD2" w:rsidRPr="00144DD2" w:rsidRDefault="00144DD2" w:rsidP="00144DD2">
      <w:pPr>
        <w:spacing w:line="240" w:lineRule="atLeast"/>
        <w:rPr>
          <w:sz w:val="20"/>
          <w:szCs w:val="20"/>
        </w:rPr>
      </w:pPr>
      <w:r w:rsidRPr="00144DD2">
        <w:rPr>
          <w:sz w:val="20"/>
          <w:szCs w:val="20"/>
        </w:rPr>
        <w:t>110 00 Praha 1</w:t>
      </w:r>
    </w:p>
    <w:p w14:paraId="6EA055B1" w14:textId="77777777" w:rsidR="00144DD2" w:rsidRPr="00144DD2" w:rsidRDefault="00144DD2" w:rsidP="00144DD2">
      <w:pPr>
        <w:spacing w:line="240" w:lineRule="atLeast"/>
        <w:rPr>
          <w:sz w:val="20"/>
          <w:szCs w:val="20"/>
        </w:rPr>
      </w:pPr>
      <w:proofErr w:type="spellStart"/>
      <w:r w:rsidRPr="00144DD2">
        <w:rPr>
          <w:sz w:val="20"/>
          <w:szCs w:val="20"/>
        </w:rPr>
        <w:t>gsm</w:t>
      </w:r>
      <w:proofErr w:type="spellEnd"/>
      <w:r w:rsidRPr="00144DD2">
        <w:rPr>
          <w:sz w:val="20"/>
          <w:szCs w:val="20"/>
        </w:rPr>
        <w:t>: + 420 720 406 659</w:t>
      </w:r>
    </w:p>
    <w:p w14:paraId="18045AFE" w14:textId="77777777" w:rsidR="00144DD2" w:rsidRPr="00144DD2" w:rsidRDefault="00280A09" w:rsidP="00144DD2">
      <w:pPr>
        <w:spacing w:line="240" w:lineRule="atLeast"/>
        <w:rPr>
          <w:sz w:val="20"/>
          <w:szCs w:val="20"/>
        </w:rPr>
      </w:pPr>
      <w:hyperlink w:tooltip="blocked::http://www.crestcom.cz&#10;http://www.crestcom.cz/" w:history="1">
        <w:r w:rsidR="00144DD2" w:rsidRPr="00144DD2">
          <w:rPr>
            <w:rStyle w:val="Hypertextovodkaz"/>
            <w:color w:val="990033"/>
            <w:sz w:val="20"/>
            <w:szCs w:val="20"/>
          </w:rPr>
          <w:t>www.crestcom.cz</w:t>
        </w:r>
      </w:hyperlink>
    </w:p>
    <w:p w14:paraId="03A2E651" w14:textId="372563DA" w:rsidR="00497B07" w:rsidRPr="005657B1" w:rsidRDefault="00144DD2" w:rsidP="005657B1">
      <w:pPr>
        <w:spacing w:line="240" w:lineRule="atLeast"/>
        <w:rPr>
          <w:sz w:val="20"/>
          <w:szCs w:val="20"/>
        </w:rPr>
      </w:pPr>
      <w:proofErr w:type="spellStart"/>
      <w:r w:rsidRPr="00144DD2">
        <w:rPr>
          <w:color w:val="000000"/>
          <w:sz w:val="20"/>
          <w:szCs w:val="20"/>
        </w:rPr>
        <w:t>e-mail</w:t>
      </w:r>
      <w:proofErr w:type="spellEnd"/>
      <w:r w:rsidRPr="00144DD2">
        <w:rPr>
          <w:color w:val="000000"/>
          <w:sz w:val="20"/>
          <w:szCs w:val="20"/>
        </w:rPr>
        <w:t xml:space="preserve">: </w:t>
      </w:r>
      <w:hyperlink r:id="rId11" w:history="1">
        <w:r w:rsidRPr="00144DD2">
          <w:rPr>
            <w:rStyle w:val="Hypertextovodkaz"/>
            <w:sz w:val="20"/>
            <w:szCs w:val="20"/>
          </w:rPr>
          <w:t>eliska.krohova@crestcom.cz</w:t>
        </w:r>
      </w:hyperlink>
      <w:bookmarkStart w:id="0" w:name="_GoBack"/>
      <w:bookmarkEnd w:id="0"/>
    </w:p>
    <w:sectPr w:rsidR="00497B07" w:rsidRPr="005657B1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FD193" w14:textId="77777777" w:rsidR="00280A09" w:rsidRDefault="00280A09">
      <w:r>
        <w:separator/>
      </w:r>
    </w:p>
  </w:endnote>
  <w:endnote w:type="continuationSeparator" w:id="0">
    <w:p w14:paraId="1A942C40" w14:textId="77777777" w:rsidR="00280A09" w:rsidRDefault="00280A09">
      <w:r>
        <w:continuationSeparator/>
      </w:r>
    </w:p>
  </w:endnote>
  <w:endnote w:type="continuationNotice" w:id="1">
    <w:p w14:paraId="58551C23" w14:textId="77777777" w:rsidR="00280A09" w:rsidRDefault="00280A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ndara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Segoe UI Semibold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52AB8" w14:textId="77777777" w:rsidR="00280A09" w:rsidRDefault="00280A09">
      <w:r>
        <w:separator/>
      </w:r>
    </w:p>
  </w:footnote>
  <w:footnote w:type="continuationSeparator" w:id="0">
    <w:p w14:paraId="01126058" w14:textId="77777777" w:rsidR="00280A09" w:rsidRDefault="00280A09">
      <w:r>
        <w:continuationSeparator/>
      </w:r>
    </w:p>
  </w:footnote>
  <w:footnote w:type="continuationNotice" w:id="1">
    <w:p w14:paraId="54E08E70" w14:textId="77777777" w:rsidR="00280A09" w:rsidRDefault="00280A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val="cs-CZ"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nvesco Interstate Bold" w:hAnsi="Invesco Interstate Bold"/>
        <w:sz w:val="28"/>
        <w:szCs w:val="28"/>
      </w:rPr>
      <w:t>Press</w:t>
    </w:r>
    <w:r w:rsidR="00043F78">
      <w:rPr>
        <w:rFonts w:ascii="Invesco Interstate Bold" w:hAnsi="Invesco Interstate Bold"/>
        <w:sz w:val="28"/>
        <w:szCs w:val="28"/>
      </w:rPr>
      <w:t xml:space="preserve"> release</w:t>
    </w:r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57592FA" w:rsidR="00702C33" w:rsidRDefault="00C92ADF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  <w:r>
      <w:rPr>
        <w:rFonts w:ascii="Invesco Interstate Light" w:hAnsi="Invesco Interstate Light"/>
        <w:color w:val="000000"/>
        <w:sz w:val="23"/>
        <w:szCs w:val="23"/>
      </w:rPr>
      <w:t xml:space="preserve">11. </w:t>
    </w:r>
    <w:proofErr w:type="spellStart"/>
    <w:r>
      <w:rPr>
        <w:rFonts w:ascii="Invesco Interstate Light" w:hAnsi="Invesco Interstate Light"/>
        <w:color w:val="000000"/>
        <w:sz w:val="23"/>
        <w:szCs w:val="23"/>
      </w:rPr>
      <w:t>ledna</w:t>
    </w:r>
    <w:proofErr w:type="spellEnd"/>
    <w:r w:rsidR="00C110F7">
      <w:rPr>
        <w:rFonts w:ascii="Invesco Interstate Light" w:hAnsi="Invesco Interstate Light"/>
        <w:color w:val="000000"/>
        <w:sz w:val="23"/>
        <w:szCs w:val="23"/>
      </w:rPr>
      <w:t xml:space="preserve"> 2022</w:t>
    </w:r>
  </w:p>
  <w:p w14:paraId="2A63A9D6" w14:textId="77777777" w:rsidR="00C110F7" w:rsidRPr="00DD40A4" w:rsidRDefault="00C110F7" w:rsidP="00C110F7">
    <w:pPr>
      <w:pStyle w:val="Zhlav"/>
      <w:pBdr>
        <w:top w:val="single" w:sz="4" w:space="3" w:color="auto"/>
      </w:pBdr>
      <w:spacing w:line="298" w:lineRule="exact"/>
      <w:ind w:left="3402"/>
      <w:jc w:val="center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D70"/>
    <w:multiLevelType w:val="multilevel"/>
    <w:tmpl w:val="11820CCE"/>
    <w:numStyleLink w:val="FormatvorlageAufgezhlt"/>
  </w:abstractNum>
  <w:abstractNum w:abstractNumId="5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30B23"/>
    <w:multiLevelType w:val="multilevel"/>
    <w:tmpl w:val="11820CCE"/>
    <w:numStyleLink w:val="FormatvorlageAufgezhlt"/>
  </w:abstractNum>
  <w:abstractNum w:abstractNumId="8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403C3"/>
    <w:multiLevelType w:val="multilevel"/>
    <w:tmpl w:val="11820CCE"/>
    <w:numStyleLink w:val="FormatvorlageAufgezhlt"/>
  </w:abstractNum>
  <w:abstractNum w:abstractNumId="11" w15:restartNumberingAfterBreak="0">
    <w:nsid w:val="6C6C4721"/>
    <w:multiLevelType w:val="multilevel"/>
    <w:tmpl w:val="11820CCE"/>
    <w:numStyleLink w:val="FormatvorlageAufgezhlt"/>
  </w:abstractNum>
  <w:abstractNum w:abstractNumId="12" w15:restartNumberingAfterBreak="0">
    <w:nsid w:val="74E5380B"/>
    <w:multiLevelType w:val="multilevel"/>
    <w:tmpl w:val="11820CCE"/>
    <w:numStyleLink w:val="FormatvorlageAufgezhlt"/>
  </w:abstractNum>
  <w:abstractNum w:abstractNumId="13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12"/>
  </w:num>
  <w:num w:numId="10">
    <w:abstractNumId w:val="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1"/>
  <w:activeWritingStyle w:appName="MSWord" w:lang="en-US" w:vendorID="64" w:dllVersion="0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CDE"/>
    <w:rsid w:val="00030ECD"/>
    <w:rsid w:val="0003116B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421F"/>
    <w:rsid w:val="0007486A"/>
    <w:rsid w:val="00074E8A"/>
    <w:rsid w:val="00075237"/>
    <w:rsid w:val="000754E9"/>
    <w:rsid w:val="000757A2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6E80"/>
    <w:rsid w:val="000877ED"/>
    <w:rsid w:val="00087927"/>
    <w:rsid w:val="00087D70"/>
    <w:rsid w:val="000900CE"/>
    <w:rsid w:val="000900DA"/>
    <w:rsid w:val="0009151B"/>
    <w:rsid w:val="0009249A"/>
    <w:rsid w:val="00092585"/>
    <w:rsid w:val="0009495F"/>
    <w:rsid w:val="00094B7F"/>
    <w:rsid w:val="0009663F"/>
    <w:rsid w:val="00097356"/>
    <w:rsid w:val="00097DE4"/>
    <w:rsid w:val="000A33F8"/>
    <w:rsid w:val="000A3997"/>
    <w:rsid w:val="000A3C74"/>
    <w:rsid w:val="000A4A52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4DD2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4EE9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5B"/>
    <w:rsid w:val="0022676E"/>
    <w:rsid w:val="002276D6"/>
    <w:rsid w:val="00227E13"/>
    <w:rsid w:val="00232A7E"/>
    <w:rsid w:val="00233E1A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5F6"/>
    <w:rsid w:val="00274752"/>
    <w:rsid w:val="00274B80"/>
    <w:rsid w:val="00275901"/>
    <w:rsid w:val="002768F3"/>
    <w:rsid w:val="00276FBA"/>
    <w:rsid w:val="0028071F"/>
    <w:rsid w:val="00280A09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54B2"/>
    <w:rsid w:val="00286FBE"/>
    <w:rsid w:val="00290496"/>
    <w:rsid w:val="00290F13"/>
    <w:rsid w:val="00291100"/>
    <w:rsid w:val="00291BA0"/>
    <w:rsid w:val="00293B74"/>
    <w:rsid w:val="00294024"/>
    <w:rsid w:val="002953EC"/>
    <w:rsid w:val="002970D9"/>
    <w:rsid w:val="002A15A9"/>
    <w:rsid w:val="002A230F"/>
    <w:rsid w:val="002A314A"/>
    <w:rsid w:val="002A380D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3FA9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916AC"/>
    <w:rsid w:val="003918D7"/>
    <w:rsid w:val="00392A32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60D8"/>
    <w:rsid w:val="003C60F5"/>
    <w:rsid w:val="003C62E9"/>
    <w:rsid w:val="003C6ADB"/>
    <w:rsid w:val="003D1079"/>
    <w:rsid w:val="003D1767"/>
    <w:rsid w:val="003D1C8B"/>
    <w:rsid w:val="003D1D82"/>
    <w:rsid w:val="003D3827"/>
    <w:rsid w:val="003D613F"/>
    <w:rsid w:val="003D6144"/>
    <w:rsid w:val="003D670F"/>
    <w:rsid w:val="003D7142"/>
    <w:rsid w:val="003D7D38"/>
    <w:rsid w:val="003E173E"/>
    <w:rsid w:val="003E18DF"/>
    <w:rsid w:val="003E2BE5"/>
    <w:rsid w:val="003E338A"/>
    <w:rsid w:val="003E381C"/>
    <w:rsid w:val="003E3A20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732"/>
    <w:rsid w:val="00462F08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80634"/>
    <w:rsid w:val="00480793"/>
    <w:rsid w:val="0048113C"/>
    <w:rsid w:val="00481665"/>
    <w:rsid w:val="00484433"/>
    <w:rsid w:val="004879FC"/>
    <w:rsid w:val="00491235"/>
    <w:rsid w:val="0049133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3E12"/>
    <w:rsid w:val="004E3FE2"/>
    <w:rsid w:val="004E42BD"/>
    <w:rsid w:val="004E52D6"/>
    <w:rsid w:val="004E6C79"/>
    <w:rsid w:val="004E75FF"/>
    <w:rsid w:val="004E7819"/>
    <w:rsid w:val="004E7C4A"/>
    <w:rsid w:val="004F0B33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745E"/>
    <w:rsid w:val="004F7B9E"/>
    <w:rsid w:val="00500779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4A3E"/>
    <w:rsid w:val="00514C4E"/>
    <w:rsid w:val="00514EF9"/>
    <w:rsid w:val="005150EA"/>
    <w:rsid w:val="005152A6"/>
    <w:rsid w:val="00521200"/>
    <w:rsid w:val="005228E5"/>
    <w:rsid w:val="0052406A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8FE"/>
    <w:rsid w:val="005336D3"/>
    <w:rsid w:val="00534A8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5D9B"/>
    <w:rsid w:val="0054680C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7B1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953"/>
    <w:rsid w:val="00587B38"/>
    <w:rsid w:val="00587FAB"/>
    <w:rsid w:val="005909A0"/>
    <w:rsid w:val="00591615"/>
    <w:rsid w:val="0059275D"/>
    <w:rsid w:val="00592B5E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96D"/>
    <w:rsid w:val="005A4071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470A"/>
    <w:rsid w:val="005B4F43"/>
    <w:rsid w:val="005B541B"/>
    <w:rsid w:val="005B67F3"/>
    <w:rsid w:val="005B7149"/>
    <w:rsid w:val="005B7D6F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7042"/>
    <w:rsid w:val="005D75FA"/>
    <w:rsid w:val="005D7AC9"/>
    <w:rsid w:val="005E04B5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5F7EEE"/>
    <w:rsid w:val="00601591"/>
    <w:rsid w:val="00601638"/>
    <w:rsid w:val="006018D9"/>
    <w:rsid w:val="006018F3"/>
    <w:rsid w:val="00601E7A"/>
    <w:rsid w:val="00602B1F"/>
    <w:rsid w:val="006032C6"/>
    <w:rsid w:val="00603B17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4F63"/>
    <w:rsid w:val="00625088"/>
    <w:rsid w:val="00625117"/>
    <w:rsid w:val="006254BE"/>
    <w:rsid w:val="0062589A"/>
    <w:rsid w:val="00625988"/>
    <w:rsid w:val="00625AE6"/>
    <w:rsid w:val="006268D0"/>
    <w:rsid w:val="00627E84"/>
    <w:rsid w:val="00630480"/>
    <w:rsid w:val="00630D0F"/>
    <w:rsid w:val="00632AF8"/>
    <w:rsid w:val="00633022"/>
    <w:rsid w:val="006337A7"/>
    <w:rsid w:val="00636791"/>
    <w:rsid w:val="006374FE"/>
    <w:rsid w:val="0063769D"/>
    <w:rsid w:val="00637ECD"/>
    <w:rsid w:val="00640E1C"/>
    <w:rsid w:val="00641089"/>
    <w:rsid w:val="00641D30"/>
    <w:rsid w:val="00642593"/>
    <w:rsid w:val="00642F0C"/>
    <w:rsid w:val="00643F4B"/>
    <w:rsid w:val="006442B6"/>
    <w:rsid w:val="006448B1"/>
    <w:rsid w:val="00644E4D"/>
    <w:rsid w:val="006454BB"/>
    <w:rsid w:val="00645A0B"/>
    <w:rsid w:val="0064735F"/>
    <w:rsid w:val="00647DC0"/>
    <w:rsid w:val="00651C42"/>
    <w:rsid w:val="00651FAA"/>
    <w:rsid w:val="00652AD3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082"/>
    <w:rsid w:val="006925D0"/>
    <w:rsid w:val="00692F17"/>
    <w:rsid w:val="00693315"/>
    <w:rsid w:val="00693C1F"/>
    <w:rsid w:val="0069416B"/>
    <w:rsid w:val="00696335"/>
    <w:rsid w:val="0069645C"/>
    <w:rsid w:val="0069693B"/>
    <w:rsid w:val="00696F88"/>
    <w:rsid w:val="00697043"/>
    <w:rsid w:val="006A200C"/>
    <w:rsid w:val="006A27C8"/>
    <w:rsid w:val="006A41A8"/>
    <w:rsid w:val="006A433E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58"/>
    <w:rsid w:val="006C36B7"/>
    <w:rsid w:val="006C3DE6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3EC"/>
    <w:rsid w:val="00714CE6"/>
    <w:rsid w:val="0071504D"/>
    <w:rsid w:val="007159FD"/>
    <w:rsid w:val="00716776"/>
    <w:rsid w:val="00716AB5"/>
    <w:rsid w:val="00716CBE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204D"/>
    <w:rsid w:val="00752265"/>
    <w:rsid w:val="0075320C"/>
    <w:rsid w:val="00753466"/>
    <w:rsid w:val="0075360F"/>
    <w:rsid w:val="00753DCE"/>
    <w:rsid w:val="00753F28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154"/>
    <w:rsid w:val="007B096D"/>
    <w:rsid w:val="007B0F30"/>
    <w:rsid w:val="007B11C0"/>
    <w:rsid w:val="007B1A07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3BBF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2653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29E"/>
    <w:rsid w:val="008376C9"/>
    <w:rsid w:val="008408DE"/>
    <w:rsid w:val="00840A37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F8F"/>
    <w:rsid w:val="0086026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0D87"/>
    <w:rsid w:val="00891DE3"/>
    <w:rsid w:val="00892DEC"/>
    <w:rsid w:val="00892E1D"/>
    <w:rsid w:val="00892F0D"/>
    <w:rsid w:val="008936F9"/>
    <w:rsid w:val="008937DB"/>
    <w:rsid w:val="00894C1B"/>
    <w:rsid w:val="00894CA9"/>
    <w:rsid w:val="00895745"/>
    <w:rsid w:val="00895BD4"/>
    <w:rsid w:val="00895C85"/>
    <w:rsid w:val="008963FE"/>
    <w:rsid w:val="00896456"/>
    <w:rsid w:val="0089647E"/>
    <w:rsid w:val="00897A25"/>
    <w:rsid w:val="008A00C1"/>
    <w:rsid w:val="008A0165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356"/>
    <w:rsid w:val="008C71CF"/>
    <w:rsid w:val="008D0384"/>
    <w:rsid w:val="008D05DE"/>
    <w:rsid w:val="008D0BB5"/>
    <w:rsid w:val="008D102B"/>
    <w:rsid w:val="008D17B1"/>
    <w:rsid w:val="008D210A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F3B"/>
    <w:rsid w:val="00901264"/>
    <w:rsid w:val="009019B8"/>
    <w:rsid w:val="009023CB"/>
    <w:rsid w:val="00902546"/>
    <w:rsid w:val="00902665"/>
    <w:rsid w:val="00902A0D"/>
    <w:rsid w:val="00902A7F"/>
    <w:rsid w:val="009037CE"/>
    <w:rsid w:val="00903F6C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3014C"/>
    <w:rsid w:val="009301E1"/>
    <w:rsid w:val="00932436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727A"/>
    <w:rsid w:val="009578D1"/>
    <w:rsid w:val="009601EE"/>
    <w:rsid w:val="00960703"/>
    <w:rsid w:val="00960EDB"/>
    <w:rsid w:val="00960FD2"/>
    <w:rsid w:val="00962C39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3702"/>
    <w:rsid w:val="00973AE9"/>
    <w:rsid w:val="00973DFB"/>
    <w:rsid w:val="00974C72"/>
    <w:rsid w:val="00974D05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7022"/>
    <w:rsid w:val="00A673FB"/>
    <w:rsid w:val="00A67D4F"/>
    <w:rsid w:val="00A67DAF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87ED7"/>
    <w:rsid w:val="00A90129"/>
    <w:rsid w:val="00A908D5"/>
    <w:rsid w:val="00A90EF7"/>
    <w:rsid w:val="00A91BD6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E3"/>
    <w:rsid w:val="00C0665E"/>
    <w:rsid w:val="00C06D2C"/>
    <w:rsid w:val="00C0782D"/>
    <w:rsid w:val="00C104FC"/>
    <w:rsid w:val="00C10636"/>
    <w:rsid w:val="00C1101A"/>
    <w:rsid w:val="00C110F7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2ADF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7FD"/>
    <w:rsid w:val="00CB0E39"/>
    <w:rsid w:val="00CB2E32"/>
    <w:rsid w:val="00CB3B0B"/>
    <w:rsid w:val="00CB48A2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FB3"/>
    <w:rsid w:val="00D07020"/>
    <w:rsid w:val="00D07A68"/>
    <w:rsid w:val="00D100C3"/>
    <w:rsid w:val="00D103F0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BA1"/>
    <w:rsid w:val="00D86001"/>
    <w:rsid w:val="00D86EE1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236B"/>
    <w:rsid w:val="00E52AEA"/>
    <w:rsid w:val="00E52C05"/>
    <w:rsid w:val="00E536E8"/>
    <w:rsid w:val="00E53C2F"/>
    <w:rsid w:val="00E54192"/>
    <w:rsid w:val="00E54FAC"/>
    <w:rsid w:val="00E554EA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72D4A"/>
    <w:rsid w:val="00E74103"/>
    <w:rsid w:val="00E75369"/>
    <w:rsid w:val="00E75B1F"/>
    <w:rsid w:val="00E76765"/>
    <w:rsid w:val="00E76D17"/>
    <w:rsid w:val="00E77AE1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B00AB"/>
    <w:rsid w:val="00EB0290"/>
    <w:rsid w:val="00EB0E86"/>
    <w:rsid w:val="00EB23B5"/>
    <w:rsid w:val="00EB34CC"/>
    <w:rsid w:val="00EB3B0C"/>
    <w:rsid w:val="00EB3F55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3A76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A5"/>
    <w:rsid w:val="00F2324E"/>
    <w:rsid w:val="00F23449"/>
    <w:rsid w:val="00F23820"/>
    <w:rsid w:val="00F23E5B"/>
    <w:rsid w:val="00F256B9"/>
    <w:rsid w:val="00F26C35"/>
    <w:rsid w:val="00F27214"/>
    <w:rsid w:val="00F273EF"/>
    <w:rsid w:val="00F300DC"/>
    <w:rsid w:val="00F3087D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4A2E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1888"/>
    <w:rsid w:val="00FB1EBE"/>
    <w:rsid w:val="00FB3011"/>
    <w:rsid w:val="00FB35AE"/>
    <w:rsid w:val="00FB3DCE"/>
    <w:rsid w:val="00FB4E3B"/>
    <w:rsid w:val="00FB53E7"/>
    <w:rsid w:val="00FB5B11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0A2"/>
    <w:rsid w:val="00FE7681"/>
    <w:rsid w:val="00FE7795"/>
    <w:rsid w:val="00FE7CC2"/>
    <w:rsid w:val="00FF069C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1D3"/>
    <w:pPr>
      <w:spacing w:line="210" w:lineRule="exact"/>
    </w:pPr>
    <w:rPr>
      <w:rFonts w:ascii="Interstate-Light" w:hAnsi="Interstate-Light"/>
      <w:spacing w:val="-2"/>
      <w:sz w:val="18"/>
      <w:szCs w:val="24"/>
    </w:rPr>
  </w:style>
  <w:style w:type="paragraph" w:styleId="Nadpis1">
    <w:name w:val="heading 1"/>
    <w:aliases w:val="Sub-Headline,9pt"/>
    <w:basedOn w:val="Normln"/>
    <w:next w:val="Normln"/>
    <w:qFormat/>
    <w:rsid w:val="00F16EAA"/>
    <w:pPr>
      <w:keepNext/>
      <w:pBdr>
        <w:top w:val="single" w:sz="4" w:space="2" w:color="auto"/>
      </w:pBdr>
      <w:outlineLvl w:val="0"/>
    </w:pPr>
    <w:rPr>
      <w:rFonts w:ascii="Interstate-Bold" w:hAnsi="Interstate-Bold"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9D484D"/>
    <w:pPr>
      <w:keepNext/>
      <w:spacing w:before="240" w:after="60"/>
      <w:outlineLvl w:val="1"/>
    </w:pPr>
    <w:rPr>
      <w:rFonts w:ascii="Times New Roman" w:hAnsi="Times New Roman" w:cs="Arial"/>
      <w:b/>
      <w:bCs/>
      <w:iCs/>
      <w:sz w:val="48"/>
      <w:szCs w:val="28"/>
    </w:rPr>
  </w:style>
  <w:style w:type="paragraph" w:styleId="Nadpis3">
    <w:name w:val="heading 3"/>
    <w:basedOn w:val="Normln"/>
    <w:next w:val="Normln"/>
    <w:qFormat/>
    <w:rsid w:val="009D484D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71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7131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rsid w:val="00286FBE"/>
    <w:pPr>
      <w:pBdr>
        <w:top w:val="single" w:sz="4" w:space="1" w:color="000000"/>
      </w:pBdr>
    </w:pPr>
  </w:style>
  <w:style w:type="paragraph" w:customStyle="1" w:styleId="Footnote">
    <w:name w:val="Footnote"/>
    <w:basedOn w:val="Normln"/>
    <w:next w:val="Normln"/>
    <w:rsid w:val="00744C5E"/>
    <w:pPr>
      <w:spacing w:line="149" w:lineRule="exact"/>
    </w:pPr>
    <w:rPr>
      <w:bCs/>
      <w:color w:val="000000"/>
      <w:sz w:val="14"/>
    </w:rPr>
  </w:style>
  <w:style w:type="paragraph" w:customStyle="1" w:styleId="Table">
    <w:name w:val="Table"/>
    <w:basedOn w:val="Normln"/>
    <w:rsid w:val="00CD55A3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rsid w:val="00E75369"/>
    <w:pPr>
      <w:spacing w:line="360" w:lineRule="auto"/>
    </w:pPr>
    <w:rPr>
      <w:rFonts w:ascii="Courier New" w:hAnsi="Courier New"/>
      <w:spacing w:val="0"/>
      <w:sz w:val="24"/>
      <w:szCs w:val="20"/>
    </w:rPr>
  </w:style>
  <w:style w:type="paragraph" w:customStyle="1" w:styleId="Sub-Headline9ptunder-lined">
    <w:name w:val="Sub-Headline 9pt under-lined"/>
    <w:basedOn w:val="Normln"/>
    <w:rsid w:val="009D484D"/>
    <w:rPr>
      <w:u w:val="single"/>
    </w:rPr>
  </w:style>
  <w:style w:type="paragraph" w:customStyle="1" w:styleId="Sub-Headline11">
    <w:name w:val="Sub-Headline 11"/>
    <w:aliases w:val="5pt"/>
    <w:basedOn w:val="Nadpis1"/>
    <w:autoRedefine/>
    <w:rsid w:val="00A86150"/>
    <w:pPr>
      <w:pBdr>
        <w:top w:val="single" w:sz="4" w:space="25" w:color="auto"/>
      </w:pBd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rsid w:val="00F16EAA"/>
    <w:rPr>
      <w:rFonts w:ascii="Interstate-Bold" w:hAnsi="Interstate-Bold"/>
    </w:rPr>
  </w:style>
  <w:style w:type="paragraph" w:styleId="FormtovanvHTML">
    <w:name w:val="HTML Preformatted"/>
    <w:basedOn w:val="Normln"/>
    <w:rsid w:val="00F62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pacing w:val="0"/>
      <w:sz w:val="20"/>
      <w:szCs w:val="20"/>
      <w:lang w:eastAsia="ja-JP"/>
    </w:rPr>
  </w:style>
  <w:style w:type="paragraph" w:styleId="Textbubliny">
    <w:name w:val="Balloon Text"/>
    <w:basedOn w:val="Normln"/>
    <w:semiHidden/>
    <w:rsid w:val="00F628F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4539F"/>
    <w:pPr>
      <w:spacing w:before="100" w:beforeAutospacing="1" w:after="100" w:afterAutospacing="1" w:line="240" w:lineRule="auto"/>
    </w:pPr>
    <w:rPr>
      <w:rFonts w:ascii="Times New Roman" w:eastAsia="MS Mincho" w:hAnsi="Times New Roman"/>
      <w:spacing w:val="0"/>
      <w:sz w:val="24"/>
      <w:lang w:eastAsia="ja-JP"/>
    </w:rPr>
  </w:style>
  <w:style w:type="paragraph" w:styleId="Rozloendokumentu">
    <w:name w:val="Document Map"/>
    <w:basedOn w:val="Normln"/>
    <w:semiHidden/>
    <w:rsid w:val="00AC04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E64197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semiHidden/>
    <w:rsid w:val="00E330A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330AF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locked/>
    <w:rsid w:val="00276FBA"/>
    <w:rPr>
      <w:rFonts w:ascii="Interstate-Light" w:hAnsi="Interstate-Light"/>
      <w:spacing w:val="-2"/>
      <w:lang w:val="de-DE" w:eastAsia="de-DE" w:bidi="ar-SA"/>
    </w:rPr>
  </w:style>
  <w:style w:type="character" w:customStyle="1" w:styleId="ZkladntextChar">
    <w:name w:val="Základní text Char"/>
    <w:link w:val="Zkladntext"/>
    <w:rsid w:val="002B42A7"/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4735F1"/>
    <w:pPr>
      <w:spacing w:line="240" w:lineRule="auto"/>
      <w:ind w:left="720"/>
    </w:pPr>
    <w:rPr>
      <w:rFonts w:ascii="Calibri" w:eastAsiaTheme="minorHAnsi" w:hAnsi="Calibri"/>
      <w:spacing w:val="0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rsid w:val="00346D43"/>
    <w:rPr>
      <w:color w:val="0000FF"/>
      <w:u w:val="single"/>
    </w:rPr>
  </w:style>
  <w:style w:type="paragraph" w:customStyle="1" w:styleId="NoList1">
    <w:name w:val="No List1"/>
    <w:basedOn w:val="Normln"/>
    <w:rsid w:val="00346D43"/>
    <w:pPr>
      <w:spacing w:line="240" w:lineRule="auto"/>
    </w:pPr>
    <w:rPr>
      <w:rFonts w:ascii="Palatino Linotype" w:eastAsia="Calibri" w:hAnsi="Palatino Linotype"/>
      <w:spacing w:val="0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35187-457B-4999-9A92-0EEA0BAF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1123</Words>
  <Characters>6632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Performance</vt:lpstr>
      <vt:lpstr>Performance</vt:lpstr>
      <vt:lpstr>Performance</vt:lpstr>
    </vt:vector>
  </TitlesOfParts>
  <Company>INVESCO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Vendula Matějková</cp:lastModifiedBy>
  <cp:revision>9</cp:revision>
  <cp:lastPrinted>2021-02-17T20:24:00Z</cp:lastPrinted>
  <dcterms:created xsi:type="dcterms:W3CDTF">2022-01-10T08:07:00Z</dcterms:created>
  <dcterms:modified xsi:type="dcterms:W3CDTF">2022-01-12T10:02:00Z</dcterms:modified>
</cp:coreProperties>
</file>